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EC4152">
      <w:pPr>
        <w:spacing w:line="360" w:lineRule="auto"/>
        <w:jc w:val="center"/>
        <w:outlineLvl w:val="0"/>
        <w:rPr>
          <w:rFonts w:ascii="Times New Roman" w:hAnsi="Times New Roman" w:eastAsia="宋体" w:cs="Times New Roman"/>
          <w:b/>
          <w:sz w:val="36"/>
          <w:szCs w:val="36"/>
        </w:rPr>
      </w:pPr>
      <w:r>
        <w:rPr>
          <w:rFonts w:ascii="Times New Roman" w:hAnsi="Times New Roman" w:eastAsia="宋体" w:cs="Times New Roman"/>
          <w:b/>
          <w:sz w:val="36"/>
          <w:szCs w:val="36"/>
        </w:rPr>
        <w:t xml:space="preserve"> 采购需求</w:t>
      </w:r>
    </w:p>
    <w:p w14:paraId="49E73083">
      <w:pPr>
        <w:widowControl/>
        <w:numPr>
          <w:ilvl w:val="0"/>
          <w:numId w:val="1"/>
        </w:numPr>
        <w:spacing w:before="0" w:beforeAutospacing="0" w:after="0" w:afterAutospacing="0" w:line="360" w:lineRule="auto"/>
        <w:ind w:left="500" w:right="0" w:hanging="500" w:firstLineChars="0"/>
        <w:contextualSpacing/>
        <w:jc w:val="both"/>
        <w:rPr>
          <w:rFonts w:hint="eastAsia" w:ascii="宋体" w:hAnsi="Calibri" w:eastAsia="宋体" w:cs="宋体"/>
          <w:b/>
          <w:kern w:val="2"/>
          <w:sz w:val="24"/>
          <w:szCs w:val="24"/>
          <w:lang w:val="en-US" w:eastAsia="zh-CN" w:bidi="ar-SA"/>
        </w:rPr>
      </w:pPr>
      <w:r>
        <w:rPr>
          <w:rFonts w:hint="eastAsia" w:ascii="宋体" w:hAnsi="宋体" w:eastAsia="宋体" w:cs="宋体"/>
          <w:b/>
          <w:kern w:val="2"/>
          <w:sz w:val="24"/>
          <w:szCs w:val="24"/>
          <w:lang w:val="en-US" w:eastAsia="zh-CN" w:bidi="ar-SA"/>
        </w:rPr>
        <w:t>采购标的</w:t>
      </w:r>
    </w:p>
    <w:p w14:paraId="4A8E220D">
      <w:pPr>
        <w:spacing w:line="360" w:lineRule="auto"/>
        <w:rPr>
          <w:rFonts w:hint="eastAsia" w:ascii="宋体" w:hAnsi="Times New Roman" w:eastAsia="宋体" w:cs="宋体"/>
          <w:b/>
          <w:sz w:val="24"/>
        </w:rPr>
      </w:pPr>
      <w:r>
        <w:rPr>
          <w:rFonts w:hint="eastAsia" w:ascii="宋体" w:hAnsi="宋体" w:eastAsia="宋体" w:cs="宋体"/>
          <w:bCs/>
          <w:sz w:val="24"/>
        </w:rPr>
        <w:t>1. 采购标的</w:t>
      </w:r>
    </w:p>
    <w:tbl>
      <w:tblPr>
        <w:tblStyle w:val="2"/>
        <w:tblW w:w="82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3"/>
        <w:gridCol w:w="2053"/>
        <w:gridCol w:w="2053"/>
        <w:gridCol w:w="2053"/>
      </w:tblGrid>
      <w:tr w14:paraId="2CA5D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2053" w:type="dxa"/>
            <w:tcBorders>
              <w:top w:val="single" w:color="auto" w:sz="4" w:space="0"/>
              <w:left w:val="single" w:color="auto" w:sz="4" w:space="0"/>
              <w:bottom w:val="single" w:color="auto" w:sz="4" w:space="0"/>
              <w:right w:val="single" w:color="auto" w:sz="4" w:space="0"/>
            </w:tcBorders>
            <w:vAlign w:val="center"/>
          </w:tcPr>
          <w:p w14:paraId="0E07C09B">
            <w:pPr>
              <w:jc w:val="center"/>
              <w:rPr>
                <w:rFonts w:hint="eastAsia" w:ascii="宋体" w:hAnsi="宋体" w:eastAsia="宋体" w:cs="宋体"/>
                <w:bCs/>
                <w:sz w:val="24"/>
              </w:rPr>
            </w:pPr>
            <w:r>
              <w:rPr>
                <w:rFonts w:hint="eastAsia" w:ascii="宋体" w:hAnsi="宋体" w:eastAsia="宋体" w:cs="Times New Roman"/>
                <w:b/>
                <w:sz w:val="24"/>
              </w:rPr>
              <w:t>序号</w:t>
            </w:r>
          </w:p>
        </w:tc>
        <w:tc>
          <w:tcPr>
            <w:tcW w:w="2053" w:type="dxa"/>
            <w:tcBorders>
              <w:top w:val="single" w:color="auto" w:sz="4" w:space="0"/>
              <w:left w:val="single" w:color="auto" w:sz="4" w:space="0"/>
              <w:bottom w:val="single" w:color="auto" w:sz="4" w:space="0"/>
              <w:right w:val="single" w:color="auto" w:sz="4" w:space="0"/>
            </w:tcBorders>
            <w:vAlign w:val="center"/>
          </w:tcPr>
          <w:p w14:paraId="491E2229">
            <w:pPr>
              <w:jc w:val="center"/>
              <w:rPr>
                <w:rFonts w:hint="eastAsia" w:ascii="宋体" w:hAnsi="宋体" w:eastAsia="宋体" w:cs="宋体"/>
                <w:bCs/>
                <w:sz w:val="24"/>
              </w:rPr>
            </w:pPr>
            <w:r>
              <w:rPr>
                <w:rFonts w:hint="eastAsia" w:ascii="宋体" w:hAnsi="宋体" w:eastAsia="宋体" w:cs="Times New Roman"/>
                <w:b/>
                <w:sz w:val="24"/>
              </w:rPr>
              <w:t>货物或服务名称</w:t>
            </w:r>
          </w:p>
        </w:tc>
        <w:tc>
          <w:tcPr>
            <w:tcW w:w="2053" w:type="dxa"/>
            <w:tcBorders>
              <w:top w:val="single" w:color="auto" w:sz="4" w:space="0"/>
              <w:left w:val="single" w:color="auto" w:sz="4" w:space="0"/>
              <w:bottom w:val="single" w:color="auto" w:sz="4" w:space="0"/>
              <w:right w:val="single" w:color="auto" w:sz="4" w:space="0"/>
            </w:tcBorders>
            <w:vAlign w:val="center"/>
          </w:tcPr>
          <w:p w14:paraId="55103E1F">
            <w:pPr>
              <w:jc w:val="center"/>
              <w:rPr>
                <w:rFonts w:hint="eastAsia" w:ascii="宋体" w:hAnsi="宋体" w:eastAsia="宋体" w:cs="宋体"/>
                <w:bCs/>
                <w:sz w:val="24"/>
              </w:rPr>
            </w:pPr>
            <w:r>
              <w:rPr>
                <w:rFonts w:hint="eastAsia" w:ascii="宋体" w:hAnsi="宋体" w:eastAsia="宋体" w:cs="Times New Roman"/>
                <w:b/>
                <w:sz w:val="24"/>
              </w:rPr>
              <w:t>数量</w:t>
            </w:r>
          </w:p>
        </w:tc>
        <w:tc>
          <w:tcPr>
            <w:tcW w:w="2053" w:type="dxa"/>
            <w:tcBorders>
              <w:top w:val="single" w:color="auto" w:sz="4" w:space="0"/>
              <w:left w:val="single" w:color="auto" w:sz="4" w:space="0"/>
              <w:bottom w:val="single" w:color="auto" w:sz="4" w:space="0"/>
              <w:right w:val="single" w:color="auto" w:sz="4" w:space="0"/>
            </w:tcBorders>
            <w:vAlign w:val="center"/>
          </w:tcPr>
          <w:p w14:paraId="1B96F6E8">
            <w:pPr>
              <w:jc w:val="center"/>
              <w:rPr>
                <w:rFonts w:hint="eastAsia" w:ascii="宋体" w:hAnsi="宋体" w:eastAsia="宋体" w:cs="宋体"/>
                <w:bCs/>
                <w:sz w:val="24"/>
              </w:rPr>
            </w:pPr>
            <w:r>
              <w:rPr>
                <w:rFonts w:hint="eastAsia" w:ascii="宋体" w:hAnsi="宋体" w:eastAsia="宋体" w:cs="Times New Roman"/>
                <w:b/>
                <w:sz w:val="24"/>
              </w:rPr>
              <w:t>单位</w:t>
            </w:r>
          </w:p>
        </w:tc>
      </w:tr>
      <w:tr w14:paraId="2C86A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053" w:type="dxa"/>
            <w:tcBorders>
              <w:top w:val="single" w:color="auto" w:sz="4" w:space="0"/>
              <w:left w:val="single" w:color="auto" w:sz="4" w:space="0"/>
              <w:bottom w:val="single" w:color="auto" w:sz="4" w:space="0"/>
              <w:right w:val="single" w:color="auto" w:sz="4" w:space="0"/>
            </w:tcBorders>
            <w:vAlign w:val="center"/>
          </w:tcPr>
          <w:p w14:paraId="5FF8AEC9">
            <w:pPr>
              <w:jc w:val="center"/>
              <w:rPr>
                <w:rFonts w:hint="eastAsia" w:ascii="宋体" w:hAnsi="宋体" w:eastAsia="宋体" w:cs="宋体"/>
                <w:bCs/>
                <w:sz w:val="24"/>
              </w:rPr>
            </w:pPr>
            <w:r>
              <w:rPr>
                <w:rFonts w:hint="eastAsia" w:ascii="宋体" w:hAnsi="宋体" w:eastAsia="宋体" w:cs="Times New Roman"/>
                <w:sz w:val="24"/>
              </w:rPr>
              <w:t>1</w:t>
            </w:r>
          </w:p>
        </w:tc>
        <w:tc>
          <w:tcPr>
            <w:tcW w:w="2053" w:type="dxa"/>
            <w:tcBorders>
              <w:top w:val="single" w:color="auto" w:sz="4" w:space="0"/>
              <w:left w:val="single" w:color="auto" w:sz="4" w:space="0"/>
              <w:bottom w:val="single" w:color="auto" w:sz="4" w:space="0"/>
              <w:right w:val="single" w:color="auto" w:sz="4" w:space="0"/>
            </w:tcBorders>
            <w:vAlign w:val="center"/>
          </w:tcPr>
          <w:p w14:paraId="21937DD8">
            <w:pPr>
              <w:jc w:val="center"/>
              <w:rPr>
                <w:rFonts w:hint="eastAsia" w:ascii="宋体" w:hAnsi="宋体" w:eastAsia="宋体" w:cs="宋体"/>
                <w:bCs/>
                <w:sz w:val="24"/>
              </w:rPr>
            </w:pPr>
            <w:r>
              <w:rPr>
                <w:rFonts w:hint="eastAsia" w:ascii="宋体" w:hAnsi="宋体" w:eastAsia="宋体" w:cs="宋体"/>
                <w:bCs/>
                <w:sz w:val="24"/>
              </w:rPr>
              <w:t>越野车</w:t>
            </w:r>
          </w:p>
        </w:tc>
        <w:tc>
          <w:tcPr>
            <w:tcW w:w="2053" w:type="dxa"/>
            <w:tcBorders>
              <w:top w:val="single" w:color="auto" w:sz="4" w:space="0"/>
              <w:left w:val="single" w:color="auto" w:sz="4" w:space="0"/>
              <w:bottom w:val="single" w:color="auto" w:sz="4" w:space="0"/>
              <w:right w:val="single" w:color="auto" w:sz="4" w:space="0"/>
            </w:tcBorders>
            <w:vAlign w:val="center"/>
          </w:tcPr>
          <w:p w14:paraId="79D439C2">
            <w:pPr>
              <w:jc w:val="center"/>
              <w:rPr>
                <w:rFonts w:hint="eastAsia" w:ascii="宋体" w:hAnsi="宋体" w:eastAsia="宋体" w:cs="宋体"/>
                <w:bCs/>
                <w:sz w:val="24"/>
              </w:rPr>
            </w:pPr>
            <w:r>
              <w:rPr>
                <w:rFonts w:hint="eastAsia" w:ascii="宋体" w:hAnsi="宋体" w:eastAsia="宋体" w:cs="宋体"/>
                <w:bCs/>
                <w:sz w:val="24"/>
              </w:rPr>
              <w:t>6</w:t>
            </w:r>
          </w:p>
        </w:tc>
        <w:tc>
          <w:tcPr>
            <w:tcW w:w="2053" w:type="dxa"/>
            <w:tcBorders>
              <w:top w:val="single" w:color="auto" w:sz="4" w:space="0"/>
              <w:left w:val="single" w:color="auto" w:sz="4" w:space="0"/>
              <w:bottom w:val="single" w:color="auto" w:sz="4" w:space="0"/>
              <w:right w:val="single" w:color="auto" w:sz="4" w:space="0"/>
            </w:tcBorders>
            <w:vAlign w:val="center"/>
          </w:tcPr>
          <w:p w14:paraId="655C2C58">
            <w:pPr>
              <w:jc w:val="center"/>
              <w:rPr>
                <w:rFonts w:hint="eastAsia" w:ascii="宋体" w:hAnsi="宋体" w:eastAsia="宋体" w:cs="宋体"/>
                <w:bCs/>
                <w:sz w:val="24"/>
              </w:rPr>
            </w:pPr>
            <w:r>
              <w:rPr>
                <w:rFonts w:hint="eastAsia" w:ascii="宋体" w:hAnsi="宋体" w:eastAsia="宋体" w:cs="Times New Roman"/>
                <w:sz w:val="24"/>
              </w:rPr>
              <w:t>辆</w:t>
            </w:r>
          </w:p>
        </w:tc>
      </w:tr>
    </w:tbl>
    <w:p w14:paraId="52B7A267">
      <w:pPr>
        <w:spacing w:line="360" w:lineRule="auto"/>
        <w:rPr>
          <w:rFonts w:hint="eastAsia" w:ascii="宋体" w:hAnsi="宋体" w:eastAsia="宋体" w:cs="宋体"/>
          <w:b/>
          <w:sz w:val="22"/>
          <w:szCs w:val="22"/>
        </w:rPr>
      </w:pPr>
      <w:r>
        <w:rPr>
          <w:rFonts w:hint="eastAsia" w:ascii="宋体" w:hAnsi="宋体" w:eastAsia="宋体" w:cs="宋体"/>
          <w:b/>
          <w:sz w:val="22"/>
          <w:szCs w:val="22"/>
        </w:rPr>
        <w:t>备注：所有价格包含不限于上牌、验车、购置税、车辆运输等费用。</w:t>
      </w:r>
    </w:p>
    <w:p w14:paraId="38F811B2">
      <w:pPr>
        <w:spacing w:line="360" w:lineRule="auto"/>
        <w:rPr>
          <w:rFonts w:hint="eastAsia" w:ascii="宋体" w:hAnsi="Times New Roman" w:eastAsia="宋体" w:cs="宋体"/>
          <w:bCs/>
          <w:sz w:val="24"/>
        </w:rPr>
      </w:pPr>
      <w:r>
        <w:rPr>
          <w:rFonts w:hint="eastAsia" w:ascii="宋体" w:hAnsi="宋体" w:eastAsia="宋体" w:cs="宋体"/>
          <w:bCs/>
          <w:sz w:val="24"/>
        </w:rPr>
        <w:t>2. 项目背景/项目概述</w:t>
      </w:r>
    </w:p>
    <w:p w14:paraId="4825DB3E">
      <w:pPr>
        <w:spacing w:line="360" w:lineRule="auto"/>
        <w:ind w:firstLine="482"/>
        <w:rPr>
          <w:rFonts w:hint="eastAsia" w:ascii="宋体" w:hAnsi="Times New Roman" w:eastAsia="宋体" w:cs="宋体"/>
          <w:sz w:val="24"/>
        </w:rPr>
      </w:pPr>
      <w:r>
        <w:rPr>
          <w:rFonts w:hint="eastAsia" w:ascii="宋体" w:hAnsi="宋体" w:eastAsia="宋体" w:cs="宋体"/>
          <w:sz w:val="24"/>
        </w:rPr>
        <w:t>根据工作需要，北京市监狱管理局清河分局2026年采购各类执法执勤、应急保障、特种专业技术用车，购置的车辆应符合北京市排放标准，车型必须列入《道路机动车辆生产企业及产品公告》。</w:t>
      </w:r>
    </w:p>
    <w:p w14:paraId="245D986C">
      <w:pPr>
        <w:widowControl/>
        <w:numPr>
          <w:ilvl w:val="0"/>
          <w:numId w:val="1"/>
        </w:numPr>
        <w:spacing w:before="0" w:beforeAutospacing="0" w:after="0" w:afterAutospacing="0" w:line="360" w:lineRule="auto"/>
        <w:ind w:left="500" w:right="0" w:hanging="500" w:firstLineChars="0"/>
        <w:contextualSpacing/>
        <w:jc w:val="both"/>
        <w:rPr>
          <w:rFonts w:hint="eastAsia" w:ascii="宋体" w:hAnsi="Calibri" w:eastAsia="宋体" w:cs="宋体"/>
          <w:b/>
          <w:kern w:val="2"/>
          <w:sz w:val="24"/>
          <w:szCs w:val="24"/>
          <w:lang w:val="en-US" w:eastAsia="zh-CN" w:bidi="ar-SA"/>
        </w:rPr>
      </w:pPr>
      <w:r>
        <w:rPr>
          <w:rFonts w:hint="eastAsia" w:ascii="宋体" w:hAnsi="宋体" w:eastAsia="宋体" w:cs="宋体"/>
          <w:b/>
          <w:kern w:val="2"/>
          <w:sz w:val="24"/>
          <w:szCs w:val="24"/>
          <w:lang w:val="en-US" w:eastAsia="zh-CN" w:bidi="ar-SA"/>
        </w:rPr>
        <w:t>商务要求</w:t>
      </w:r>
    </w:p>
    <w:p w14:paraId="24DA2309">
      <w:pPr>
        <w:spacing w:line="360" w:lineRule="auto"/>
        <w:rPr>
          <w:rFonts w:hint="eastAsia" w:ascii="宋体" w:hAnsi="宋体" w:eastAsia="宋体" w:cs="宋体"/>
          <w:i/>
          <w:sz w:val="24"/>
        </w:rPr>
      </w:pPr>
      <w:r>
        <w:rPr>
          <w:rFonts w:hint="eastAsia" w:ascii="宋体" w:hAnsi="宋体" w:eastAsia="宋体" w:cs="宋体"/>
          <w:sz w:val="24"/>
        </w:rPr>
        <w:t>1. 交付（实施）的时间（期限）和地点（范围）</w:t>
      </w:r>
    </w:p>
    <w:p w14:paraId="5CD27BBA">
      <w:pPr>
        <w:spacing w:line="360" w:lineRule="auto"/>
        <w:ind w:firstLine="480" w:firstLineChars="200"/>
        <w:rPr>
          <w:rFonts w:hint="eastAsia" w:ascii="宋体" w:hAnsi="宋体" w:eastAsia="宋体" w:cs="宋体"/>
          <w:bCs/>
          <w:iCs/>
          <w:sz w:val="24"/>
        </w:rPr>
      </w:pPr>
      <w:r>
        <w:rPr>
          <w:rFonts w:hint="eastAsia" w:ascii="宋体" w:hAnsi="宋体" w:eastAsia="宋体" w:cs="宋体"/>
          <w:bCs/>
          <w:iCs/>
          <w:sz w:val="24"/>
        </w:rPr>
        <w:t>1. 1 交货期：自合同签订之日起两个月内完成交付和上户手续。</w:t>
      </w:r>
    </w:p>
    <w:p w14:paraId="7564BCAC">
      <w:pPr>
        <w:spacing w:line="360" w:lineRule="auto"/>
        <w:ind w:firstLine="480" w:firstLineChars="200"/>
        <w:rPr>
          <w:rFonts w:hint="eastAsia" w:ascii="宋体" w:hAnsi="宋体" w:eastAsia="宋体" w:cs="宋体"/>
          <w:bCs/>
          <w:iCs/>
          <w:sz w:val="24"/>
        </w:rPr>
      </w:pPr>
      <w:r>
        <w:rPr>
          <w:rFonts w:hint="eastAsia" w:ascii="宋体" w:hAnsi="宋体" w:eastAsia="宋体" w:cs="宋体"/>
          <w:bCs/>
          <w:iCs/>
          <w:sz w:val="24"/>
        </w:rPr>
        <w:t>1.2 交货地点：采购人指定地点 （特殊情况以合同为准）。</w:t>
      </w:r>
    </w:p>
    <w:p w14:paraId="3AF8C526">
      <w:pPr>
        <w:spacing w:line="360" w:lineRule="auto"/>
        <w:ind w:firstLine="480" w:firstLineChars="200"/>
        <w:rPr>
          <w:rFonts w:hint="eastAsia" w:ascii="宋体" w:hAnsi="宋体" w:eastAsia="宋体" w:cs="宋体"/>
          <w:bCs/>
          <w:iCs/>
          <w:sz w:val="24"/>
        </w:rPr>
      </w:pPr>
      <w:r>
        <w:rPr>
          <w:rFonts w:hint="eastAsia" w:ascii="宋体" w:hAnsi="宋体" w:eastAsia="宋体" w:cs="宋体"/>
          <w:bCs/>
          <w:iCs/>
          <w:sz w:val="24"/>
        </w:rPr>
        <w:t>1.3 提供制造商完整的随车资料、随车工具，包括完整的使用和维修手册等。</w:t>
      </w:r>
    </w:p>
    <w:p w14:paraId="66462CCF">
      <w:pPr>
        <w:spacing w:line="360" w:lineRule="auto"/>
        <w:ind w:firstLine="480" w:firstLineChars="200"/>
        <w:rPr>
          <w:rFonts w:hint="eastAsia" w:ascii="宋体" w:hAnsi="宋体" w:eastAsia="宋体" w:cs="宋体"/>
          <w:bCs/>
          <w:iCs/>
          <w:sz w:val="24"/>
        </w:rPr>
      </w:pPr>
      <w:r>
        <w:rPr>
          <w:rFonts w:hint="eastAsia" w:ascii="宋体" w:hAnsi="宋体" w:eastAsia="宋体" w:cs="宋体"/>
          <w:bCs/>
          <w:iCs/>
          <w:sz w:val="24"/>
        </w:rPr>
        <w:t>1.4 特别要求：交货时要求投标人就所投产品提供产品说明书。</w:t>
      </w:r>
    </w:p>
    <w:p w14:paraId="30AE6640">
      <w:pPr>
        <w:spacing w:line="360" w:lineRule="auto"/>
        <w:rPr>
          <w:rFonts w:hint="eastAsia" w:ascii="宋体" w:hAnsi="宋体" w:eastAsia="宋体" w:cs="宋体"/>
          <w:sz w:val="24"/>
        </w:rPr>
      </w:pPr>
      <w:r>
        <w:rPr>
          <w:rFonts w:hint="eastAsia" w:ascii="宋体" w:hAnsi="宋体" w:eastAsia="宋体" w:cs="宋体"/>
          <w:sz w:val="24"/>
        </w:rPr>
        <w:t>2. 付款条件（进度和方式）</w:t>
      </w:r>
    </w:p>
    <w:p w14:paraId="3BCE53CF">
      <w:pPr>
        <w:spacing w:line="360" w:lineRule="auto"/>
        <w:contextualSpacing/>
        <w:rPr>
          <w:rFonts w:ascii="宋体" w:hAnsi="宋体" w:eastAsia="宋体" w:cs="Times New Roman"/>
          <w:bCs/>
          <w:sz w:val="24"/>
        </w:rPr>
      </w:pPr>
      <w:r>
        <w:rPr>
          <w:rFonts w:hint="eastAsia" w:ascii="宋体" w:hAnsi="宋体" w:eastAsia="宋体" w:cs="Times New Roman"/>
          <w:bCs/>
          <w:sz w:val="24"/>
        </w:rPr>
        <w:t xml:space="preserve">    以签订合同为准。</w:t>
      </w:r>
    </w:p>
    <w:p w14:paraId="61109C9E">
      <w:pPr>
        <w:spacing w:line="360" w:lineRule="auto"/>
        <w:rPr>
          <w:rFonts w:hint="eastAsia" w:ascii="宋体" w:hAnsi="宋体" w:eastAsia="宋体" w:cs="宋体"/>
          <w:sz w:val="24"/>
        </w:rPr>
      </w:pPr>
      <w:r>
        <w:rPr>
          <w:rFonts w:hint="eastAsia" w:ascii="宋体" w:hAnsi="宋体" w:eastAsia="宋体" w:cs="宋体"/>
          <w:sz w:val="24"/>
        </w:rPr>
        <w:t>3. 售后服务（质保期）</w:t>
      </w:r>
    </w:p>
    <w:p w14:paraId="3B828E34">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所投车辆保修期限不低于3年或者行驶里程120,000公里，以先到者为准；</w:t>
      </w:r>
      <w:r>
        <w:rPr>
          <w:rFonts w:hint="eastAsia" w:ascii="宋体" w:hAnsi="宋体" w:eastAsia="宋体" w:cs="Times New Roman"/>
          <w:sz w:val="24"/>
        </w:rPr>
        <w:t>三电系统（电池、电机、电控）保修8年或15万公里。</w:t>
      </w:r>
      <w:r>
        <w:rPr>
          <w:rFonts w:hint="eastAsia" w:ascii="宋体" w:hAnsi="宋体" w:eastAsia="宋体" w:cs="宋体"/>
          <w:bCs/>
          <w:sz w:val="24"/>
        </w:rPr>
        <w:t>所投车辆三包（修理、更换、退货）有效期限不低于《家用汽车产品修理、更换、退货责任规定》要求。保修期和三包有效期自供应商开具购车发票之日起计算。</w:t>
      </w:r>
    </w:p>
    <w:p w14:paraId="5EAEB3CD">
      <w:pPr>
        <w:spacing w:line="360" w:lineRule="auto"/>
        <w:ind w:firstLine="480" w:firstLineChars="200"/>
        <w:rPr>
          <w:rFonts w:hint="eastAsia" w:ascii="宋体" w:hAnsi="宋体" w:eastAsia="宋体" w:cs="宋体"/>
          <w:bCs/>
          <w:iCs/>
          <w:sz w:val="24"/>
        </w:rPr>
      </w:pPr>
      <w:r>
        <w:rPr>
          <w:rFonts w:hint="eastAsia" w:ascii="宋体" w:hAnsi="宋体" w:eastAsia="宋体" w:cs="宋体"/>
          <w:bCs/>
          <w:sz w:val="24"/>
        </w:rPr>
        <w:t>提供所投产品制造商服务机构情况，包括地址、联系方式及技术人员数量等</w:t>
      </w:r>
      <w:r>
        <w:rPr>
          <w:rFonts w:hint="eastAsia" w:ascii="宋体" w:hAnsi="宋体" w:eastAsia="宋体" w:cs="宋体"/>
          <w:bCs/>
          <w:iCs/>
          <w:sz w:val="24"/>
        </w:rPr>
        <w:t>。</w:t>
      </w:r>
    </w:p>
    <w:p w14:paraId="431D16F1">
      <w:pPr>
        <w:spacing w:line="360" w:lineRule="auto"/>
        <w:rPr>
          <w:rFonts w:hint="eastAsia" w:ascii="宋体" w:hAnsi="宋体" w:eastAsia="宋体" w:cs="宋体"/>
          <w:b/>
          <w:i/>
          <w:sz w:val="24"/>
        </w:rPr>
      </w:pPr>
      <w:r>
        <w:rPr>
          <w:rFonts w:hint="eastAsia" w:ascii="宋体" w:hAnsi="宋体" w:eastAsia="宋体" w:cs="宋体"/>
          <w:sz w:val="24"/>
        </w:rPr>
        <w:t>4. 报价要求</w:t>
      </w:r>
    </w:p>
    <w:p w14:paraId="2E0A70E0">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4.1 投标人的报价应包括：车辆及附件货款、运输费、运输保险费、装卸费、安装调试费、车辆购置税等。不包含装具费用、机动车保险费用。投标人所报价格为最终优惠价格。</w:t>
      </w:r>
    </w:p>
    <w:p w14:paraId="2599B4FD">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4.2 验收及相关费用由投标人负责。</w:t>
      </w:r>
    </w:p>
    <w:p w14:paraId="31A560C2">
      <w:pPr>
        <w:spacing w:line="360" w:lineRule="auto"/>
        <w:contextualSpacing/>
        <w:rPr>
          <w:rFonts w:ascii="Times New Roman" w:hAnsi="Times New Roman" w:eastAsia="宋体" w:cs="Times New Roman"/>
          <w:b/>
          <w:sz w:val="24"/>
        </w:rPr>
      </w:pPr>
      <w:r>
        <w:rPr>
          <w:rFonts w:hint="eastAsia" w:ascii="Times New Roman" w:hAnsi="Times New Roman" w:eastAsia="宋体" w:cs="Times New Roman"/>
          <w:b/>
          <w:sz w:val="24"/>
        </w:rPr>
        <w:t>三、</w:t>
      </w:r>
      <w:r>
        <w:rPr>
          <w:rFonts w:ascii="Times New Roman" w:hAnsi="Times New Roman" w:eastAsia="宋体" w:cs="Times New Roman"/>
          <w:b/>
          <w:sz w:val="24"/>
        </w:rPr>
        <w:t>技术要求</w:t>
      </w:r>
    </w:p>
    <w:p w14:paraId="46C7534F">
      <w:pPr>
        <w:spacing w:line="360" w:lineRule="auto"/>
        <w:ind w:firstLine="480" w:firstLineChars="200"/>
        <w:contextualSpacing/>
        <w:rPr>
          <w:rFonts w:hint="eastAsia" w:ascii="Times New Roman" w:hAnsi="Times New Roman" w:eastAsia="宋体" w:cs="Times New Roman"/>
          <w:sz w:val="24"/>
        </w:rPr>
      </w:pPr>
      <w:r>
        <w:rPr>
          <w:rFonts w:hint="eastAsia" w:ascii="Times New Roman" w:hAnsi="Times New Roman" w:eastAsia="宋体" w:cs="Times New Roman"/>
          <w:sz w:val="24"/>
        </w:rPr>
        <w:t>1、基本要求</w:t>
      </w:r>
    </w:p>
    <w:p w14:paraId="1777B308">
      <w:pPr>
        <w:spacing w:line="360" w:lineRule="auto"/>
        <w:ind w:firstLine="480" w:firstLineChars="200"/>
        <w:contextualSpacing/>
        <w:rPr>
          <w:rFonts w:hint="eastAsia" w:ascii="Times New Roman" w:hAnsi="Times New Roman" w:eastAsia="宋体" w:cs="Times New Roman"/>
          <w:sz w:val="24"/>
        </w:rPr>
      </w:pPr>
      <w:r>
        <w:rPr>
          <w:rFonts w:hint="eastAsia" w:ascii="Times New Roman" w:hAnsi="Times New Roman" w:eastAsia="宋体" w:cs="Times New Roman"/>
          <w:sz w:val="24"/>
        </w:rPr>
        <w:t>1.1 投标文件中对所投产品的名称、品牌、制造商、产地、主要技术性能指标及其在技术、安全、驾驶辅助功能、性能、管理、厂家标准、使用年限及售后服务等方面情况提供详细的具有法律效力的技术资料。</w:t>
      </w:r>
    </w:p>
    <w:p w14:paraId="6618816B">
      <w:pPr>
        <w:spacing w:line="360" w:lineRule="auto"/>
        <w:ind w:firstLine="480" w:firstLineChars="200"/>
        <w:contextualSpacing/>
        <w:rPr>
          <w:rFonts w:hint="eastAsia" w:ascii="Times New Roman" w:hAnsi="Times New Roman" w:eastAsia="宋体" w:cs="Times New Roman"/>
          <w:sz w:val="24"/>
        </w:rPr>
      </w:pPr>
      <w:r>
        <w:rPr>
          <w:rFonts w:hint="eastAsia" w:ascii="Times New Roman" w:hAnsi="Times New Roman" w:eastAsia="宋体" w:cs="Times New Roman"/>
          <w:sz w:val="24"/>
        </w:rPr>
        <w:t>1.2 投标文件中提供从所投产品原材料采购、设计、加工制作、存储、流通、回收等产品全生命周期各环节，详细阐述该产品节能、环保及绿色供应链管理情况，提供相关证明文件，形式包括证书、图示、文字说明等。</w:t>
      </w:r>
    </w:p>
    <w:p w14:paraId="6ABDA493">
      <w:pPr>
        <w:spacing w:line="360" w:lineRule="auto"/>
        <w:ind w:firstLine="480" w:firstLineChars="200"/>
        <w:contextualSpacing/>
        <w:rPr>
          <w:rFonts w:hint="eastAsia" w:ascii="Times New Roman" w:hAnsi="Times New Roman" w:eastAsia="宋体" w:cs="Times New Roman"/>
          <w:sz w:val="24"/>
        </w:rPr>
      </w:pPr>
      <w:r>
        <w:rPr>
          <w:rFonts w:hint="eastAsia" w:ascii="Times New Roman" w:hAnsi="Times New Roman" w:eastAsia="宋体" w:cs="Times New Roman"/>
          <w:sz w:val="24"/>
        </w:rPr>
        <w:t>2. 服务内容及要求/货物技术要求</w:t>
      </w:r>
    </w:p>
    <w:p w14:paraId="5C073E7B">
      <w:pPr>
        <w:spacing w:line="360" w:lineRule="auto"/>
        <w:ind w:firstLine="720" w:firstLineChars="300"/>
        <w:contextualSpacing/>
        <w:rPr>
          <w:rFonts w:hint="eastAsia" w:ascii="Times New Roman" w:hAnsi="Times New Roman" w:eastAsia="宋体" w:cs="Times New Roman"/>
          <w:sz w:val="24"/>
        </w:rPr>
      </w:pPr>
      <w:r>
        <w:rPr>
          <w:rFonts w:hint="eastAsia" w:ascii="Times New Roman" w:hAnsi="Times New Roman" w:eastAsia="宋体" w:cs="Times New Roman"/>
          <w:sz w:val="24"/>
        </w:rPr>
        <w:t>具体技术参数要求表</w:t>
      </w:r>
    </w:p>
    <w:p w14:paraId="078D36B1">
      <w:pPr>
        <w:spacing w:line="360" w:lineRule="auto"/>
        <w:ind w:firstLine="480" w:firstLineChars="200"/>
        <w:contextualSpacing/>
        <w:rPr>
          <w:rFonts w:hint="eastAsia" w:ascii="Times New Roman" w:hAnsi="Times New Roman" w:eastAsia="宋体" w:cs="Times New Roman"/>
          <w:sz w:val="24"/>
        </w:rPr>
      </w:pPr>
      <w:r>
        <w:rPr>
          <w:rFonts w:hint="eastAsia" w:ascii="Times New Roman" w:hAnsi="Times New Roman" w:eastAsia="宋体" w:cs="Times New Roman"/>
          <w:sz w:val="24"/>
        </w:rPr>
        <w:t>特别说明：</w:t>
      </w:r>
    </w:p>
    <w:p w14:paraId="6E2DBC9B">
      <w:pPr>
        <w:spacing w:line="360" w:lineRule="auto"/>
        <w:contextualSpacing/>
        <w:rPr>
          <w:rFonts w:ascii="Times New Roman" w:hAnsi="Times New Roman" w:eastAsia="宋体" w:cs="Times New Roman"/>
          <w:sz w:val="24"/>
        </w:rPr>
      </w:pPr>
      <w:r>
        <w:rPr>
          <w:rFonts w:hint="eastAsia" w:ascii="Times New Roman" w:hAnsi="Times New Roman" w:eastAsia="宋体" w:cs="Times New Roman"/>
          <w:sz w:val="24"/>
        </w:rPr>
        <w:t xml:space="preserve">   （1）标记了“★”的技术参数属于实质性参数，如未响应或响应为负偏离的，按无效投标处理。“★”技术参数响应情况的审核依据：供应商在《投标文件（商务技术文件）》中提供与所投车辆型号一致的型式试验报告或检测报告电子件，或国家工信部发布的《道路机动车辆生产企业及产品公告》中所投车辆的公告截图，或在国家工信部备案可查询的与所投车辆型号一致的《合格证》电子件，或车辆官网截图，全部证明资料均须加盖供应商公章。</w:t>
      </w:r>
    </w:p>
    <w:p w14:paraId="6FF733A6">
      <w:pPr>
        <w:spacing w:line="360" w:lineRule="auto"/>
        <w:contextualSpacing/>
        <w:rPr>
          <w:rFonts w:hint="eastAsia" w:ascii="Times New Roman" w:hAnsi="Times New Roman" w:eastAsia="宋体" w:cs="Times New Roman"/>
          <w:sz w:val="24"/>
        </w:rPr>
      </w:pPr>
      <w:r>
        <w:rPr>
          <w:rFonts w:hint="eastAsia" w:ascii="Times New Roman" w:hAnsi="Times New Roman" w:eastAsia="宋体" w:cs="Times New Roman"/>
          <w:sz w:val="24"/>
        </w:rPr>
        <w:t xml:space="preserve">   （2）标记了“</w:t>
      </w:r>
      <w:r>
        <w:rPr>
          <w:rFonts w:ascii="Times New Roman" w:hAnsi="Times New Roman" w:eastAsia="宋体" w:cs="Times New Roman"/>
          <w:sz w:val="24"/>
        </w:rPr>
        <w:t>▲</w:t>
      </w:r>
      <w:r>
        <w:rPr>
          <w:rFonts w:hint="eastAsia" w:ascii="Times New Roman" w:hAnsi="Times New Roman" w:eastAsia="宋体" w:cs="Times New Roman"/>
          <w:sz w:val="24"/>
        </w:rPr>
        <w:t>”的技术参数</w:t>
      </w:r>
      <w:r>
        <w:rPr>
          <w:rFonts w:ascii="Times New Roman" w:hAnsi="Times New Roman" w:eastAsia="宋体" w:cs="Times New Roman"/>
          <w:sz w:val="24"/>
        </w:rPr>
        <w:t>代表关键指标项，</w:t>
      </w:r>
      <w:r>
        <w:rPr>
          <w:rFonts w:hint="eastAsia" w:ascii="Times New Roman" w:hAnsi="Times New Roman" w:eastAsia="宋体" w:cs="Times New Roman"/>
          <w:sz w:val="24"/>
        </w:rPr>
        <w:t>如供应商所投产品的关键技术指标出现一项或多项负偏离的，将影响其评审分值，但不作为无效投标处理。“</w:t>
      </w:r>
      <w:r>
        <w:rPr>
          <w:rFonts w:ascii="Times New Roman" w:hAnsi="Times New Roman" w:eastAsia="宋体" w:cs="Times New Roman"/>
          <w:sz w:val="24"/>
        </w:rPr>
        <w:t>▲</w:t>
      </w:r>
      <w:r>
        <w:rPr>
          <w:rFonts w:hint="eastAsia" w:ascii="Times New Roman" w:hAnsi="Times New Roman" w:eastAsia="宋体" w:cs="Times New Roman"/>
          <w:sz w:val="24"/>
        </w:rPr>
        <w:t>”技术参数响应情况的审核依据：供应商在《投标文件（商务技术文件）》中提供与所投车辆型号一致的型式试验报告或检测报告电子件，或国家工信部发布的《道路机动车辆生产企业及产品公告》中所投车辆的公告截图，或在国家工信部备案可查询的与所投车辆型号一致的《合格证》电子件，或车辆官网截图，全部证明资料均须加盖供应商公章。</w:t>
      </w:r>
    </w:p>
    <w:p w14:paraId="4BB9CE64">
      <w:pPr>
        <w:spacing w:line="360" w:lineRule="auto"/>
        <w:contextualSpacing/>
        <w:rPr>
          <w:rFonts w:hint="eastAsia" w:ascii="Times New Roman" w:hAnsi="Times New Roman" w:eastAsia="宋体" w:cs="Times New Roman"/>
          <w:sz w:val="24"/>
        </w:rPr>
      </w:pPr>
      <w:r>
        <w:rPr>
          <w:rFonts w:hint="eastAsia" w:ascii="Times New Roman" w:hAnsi="Times New Roman" w:eastAsia="宋体" w:cs="Times New Roman"/>
          <w:sz w:val="24"/>
        </w:rPr>
        <w:t xml:space="preserve">   （3）标记了“#”的技术参数</w:t>
      </w:r>
      <w:r>
        <w:rPr>
          <w:rFonts w:ascii="Times New Roman" w:hAnsi="Times New Roman" w:eastAsia="宋体" w:cs="Times New Roman"/>
          <w:sz w:val="24"/>
        </w:rPr>
        <w:t>代表</w:t>
      </w:r>
      <w:r>
        <w:rPr>
          <w:rFonts w:hint="eastAsia" w:ascii="Times New Roman" w:hAnsi="Times New Roman" w:eastAsia="宋体" w:cs="Times New Roman"/>
          <w:sz w:val="24"/>
        </w:rPr>
        <w:t>一般性技术指标，是指满足本次采购基本功能的技术指标，如供应商所投产品的一般技术指标出现一项或多项负偏离的，将影响其评审分值，但不作为无效投标处理。一般技术指标响应情况的审核依据：供应商在《投标文件（商务技术文件）》中提供与所投车辆型号一致的型式试验报告或检测报告电子件，或国家工信部发布的《道路机动车辆生产企业及产品公告》中所投车辆的公告截图，或在国家工信部备案可查询的与所投车辆型号一致的《合格证》电子件，或车辆官网截图，或相关车辆公众网站截图，全部证明资料均须加盖供应商公章。</w:t>
      </w:r>
    </w:p>
    <w:p w14:paraId="054616E0">
      <w:pPr>
        <w:spacing w:line="360" w:lineRule="auto"/>
        <w:contextualSpacing/>
        <w:rPr>
          <w:rFonts w:hint="eastAsia" w:ascii="宋体" w:hAnsi="宋体" w:eastAsia="宋体" w:cs="宋体"/>
          <w:kern w:val="0"/>
          <w:sz w:val="22"/>
          <w:szCs w:val="22"/>
        </w:rPr>
      </w:pPr>
      <w:r>
        <w:rPr>
          <w:rFonts w:hint="eastAsia" w:ascii="宋体" w:hAnsi="宋体" w:eastAsia="宋体" w:cs="宋体"/>
          <w:kern w:val="0"/>
          <w:sz w:val="22"/>
          <w:szCs w:val="22"/>
        </w:rPr>
        <w:t>车辆技术参数指标</w:t>
      </w:r>
    </w:p>
    <w:tbl>
      <w:tblPr>
        <w:tblStyle w:val="2"/>
        <w:tblW w:w="8254" w:type="dxa"/>
        <w:tblInd w:w="137" w:type="dxa"/>
        <w:tblLayout w:type="fixed"/>
        <w:tblCellMar>
          <w:top w:w="0" w:type="dxa"/>
          <w:left w:w="108" w:type="dxa"/>
          <w:bottom w:w="0" w:type="dxa"/>
          <w:right w:w="108" w:type="dxa"/>
        </w:tblCellMar>
      </w:tblPr>
      <w:tblGrid>
        <w:gridCol w:w="8254"/>
      </w:tblGrid>
      <w:tr w14:paraId="7C742BBC">
        <w:tblPrEx>
          <w:tblCellMar>
            <w:top w:w="0" w:type="dxa"/>
            <w:left w:w="108" w:type="dxa"/>
            <w:bottom w:w="0" w:type="dxa"/>
            <w:right w:w="108" w:type="dxa"/>
          </w:tblCellMar>
        </w:tblPrEx>
        <w:trPr>
          <w:trHeight w:val="468" w:hRule="atLeast"/>
        </w:trPr>
        <w:tc>
          <w:tcPr>
            <w:tcW w:w="8254" w:type="dxa"/>
            <w:tcBorders>
              <w:top w:val="single" w:color="auto" w:sz="4" w:space="0"/>
              <w:left w:val="single" w:color="auto" w:sz="4" w:space="0"/>
              <w:bottom w:val="single" w:color="auto" w:sz="4" w:space="0"/>
              <w:right w:val="single" w:color="auto" w:sz="4" w:space="0"/>
            </w:tcBorders>
            <w:vAlign w:val="center"/>
          </w:tcPr>
          <w:p w14:paraId="00AA1EB4">
            <w:pPr>
              <w:widowControl/>
              <w:jc w:val="center"/>
              <w:rPr>
                <w:rFonts w:ascii="Times New Roman" w:hAnsi="Times New Roman" w:eastAsia="宋体" w:cs="Times New Roman"/>
                <w:b/>
                <w:bCs/>
                <w:color w:val="000000"/>
                <w:sz w:val="24"/>
              </w:rPr>
            </w:pPr>
            <w:r>
              <w:rPr>
                <w:rFonts w:hint="eastAsia" w:ascii="Times New Roman" w:hAnsi="Times New Roman" w:eastAsia="宋体" w:cs="Times New Roman"/>
                <w:b/>
                <w:bCs/>
                <w:color w:val="000000"/>
                <w:sz w:val="24"/>
              </w:rPr>
              <w:t>具体技术需求</w:t>
            </w:r>
          </w:p>
        </w:tc>
      </w:tr>
      <w:tr w14:paraId="0C8B6594">
        <w:tblPrEx>
          <w:tblCellMar>
            <w:top w:w="0" w:type="dxa"/>
            <w:left w:w="108" w:type="dxa"/>
            <w:bottom w:w="0" w:type="dxa"/>
            <w:right w:w="108" w:type="dxa"/>
          </w:tblCellMar>
        </w:tblPrEx>
        <w:trPr>
          <w:trHeight w:val="468" w:hRule="atLeast"/>
        </w:trPr>
        <w:tc>
          <w:tcPr>
            <w:tcW w:w="8254" w:type="dxa"/>
            <w:tcBorders>
              <w:top w:val="nil"/>
              <w:left w:val="single" w:color="auto" w:sz="4" w:space="0"/>
              <w:bottom w:val="single" w:color="auto" w:sz="4" w:space="0"/>
              <w:right w:val="single" w:color="auto" w:sz="4" w:space="0"/>
            </w:tcBorders>
            <w:vAlign w:val="center"/>
          </w:tcPr>
          <w:p w14:paraId="4D2EA16C">
            <w:pPr>
              <w:widowControl/>
              <w:ind w:left="-252" w:leftChars="-120" w:firstLine="288" w:firstLineChars="120"/>
              <w:rPr>
                <w:rFonts w:ascii="Times New Roman" w:hAnsi="Times New Roman" w:eastAsia="宋体" w:cs="Times New Roman"/>
                <w:color w:val="000000"/>
                <w:sz w:val="24"/>
              </w:rPr>
            </w:pPr>
            <w:r>
              <w:rPr>
                <w:rFonts w:hint="eastAsia" w:ascii="Times New Roman" w:hAnsi="Times New Roman" w:eastAsia="宋体" w:cs="Times New Roman"/>
                <w:color w:val="000000"/>
                <w:sz w:val="24"/>
              </w:rPr>
              <w:t>▲1.能源类型：增程式</w:t>
            </w:r>
          </w:p>
        </w:tc>
      </w:tr>
      <w:tr w14:paraId="02287CDA">
        <w:tblPrEx>
          <w:tblCellMar>
            <w:top w:w="0" w:type="dxa"/>
            <w:left w:w="108" w:type="dxa"/>
            <w:bottom w:w="0" w:type="dxa"/>
            <w:right w:w="108" w:type="dxa"/>
          </w:tblCellMar>
        </w:tblPrEx>
        <w:trPr>
          <w:trHeight w:val="468" w:hRule="atLeast"/>
        </w:trPr>
        <w:tc>
          <w:tcPr>
            <w:tcW w:w="8254" w:type="dxa"/>
            <w:tcBorders>
              <w:top w:val="nil"/>
              <w:left w:val="single" w:color="auto" w:sz="4" w:space="0"/>
              <w:bottom w:val="single" w:color="auto" w:sz="4" w:space="0"/>
              <w:right w:val="single" w:color="auto" w:sz="4" w:space="0"/>
            </w:tcBorders>
            <w:vAlign w:val="center"/>
          </w:tcPr>
          <w:p w14:paraId="10E64995">
            <w:pPr>
              <w:widowControl/>
              <w:rPr>
                <w:rFonts w:ascii="Times New Roman" w:hAnsi="Times New Roman" w:eastAsia="宋体" w:cs="Times New Roman"/>
                <w:color w:val="000000"/>
                <w:sz w:val="24"/>
              </w:rPr>
            </w:pPr>
            <w:r>
              <w:rPr>
                <w:rFonts w:hint="eastAsia" w:ascii="Times New Roman" w:hAnsi="Times New Roman" w:eastAsia="宋体" w:cs="Times New Roman"/>
                <w:color w:val="000000"/>
                <w:sz w:val="24"/>
              </w:rPr>
              <w:t>★2.轴距（mm）</w:t>
            </w:r>
            <w:r>
              <w:rPr>
                <w:rFonts w:hint="eastAsia" w:ascii="宋体" w:hAnsi="宋体" w:eastAsia="宋体" w:cs="宋体"/>
                <w:color w:val="000000"/>
                <w:kern w:val="0"/>
                <w:sz w:val="24"/>
              </w:rPr>
              <w:t>：</w:t>
            </w:r>
            <w:r>
              <w:rPr>
                <w:rFonts w:ascii="Times New Roman" w:hAnsi="Times New Roman" w:eastAsia="宋体" w:cs="Times New Roman"/>
                <w:color w:val="000000"/>
                <w:sz w:val="24"/>
              </w:rPr>
              <w:t>2700</w:t>
            </w:r>
            <w:r>
              <w:rPr>
                <w:rFonts w:hint="eastAsia" w:ascii="Times New Roman" w:hAnsi="Times New Roman" w:eastAsia="宋体" w:cs="Times New Roman"/>
                <w:color w:val="000000"/>
                <w:sz w:val="24"/>
              </w:rPr>
              <w:t>≤轴距≤2</w:t>
            </w:r>
            <w:r>
              <w:rPr>
                <w:rFonts w:ascii="Times New Roman" w:hAnsi="Times New Roman" w:eastAsia="宋体" w:cs="Times New Roman"/>
                <w:color w:val="000000"/>
                <w:sz w:val="24"/>
              </w:rPr>
              <w:t>800</w:t>
            </w:r>
          </w:p>
        </w:tc>
      </w:tr>
      <w:tr w14:paraId="51EFBF0B">
        <w:tblPrEx>
          <w:tblCellMar>
            <w:top w:w="0" w:type="dxa"/>
            <w:left w:w="108" w:type="dxa"/>
            <w:bottom w:w="0" w:type="dxa"/>
            <w:right w:w="108" w:type="dxa"/>
          </w:tblCellMar>
        </w:tblPrEx>
        <w:trPr>
          <w:trHeight w:val="468" w:hRule="atLeast"/>
        </w:trPr>
        <w:tc>
          <w:tcPr>
            <w:tcW w:w="8254" w:type="dxa"/>
            <w:tcBorders>
              <w:top w:val="nil"/>
              <w:left w:val="single" w:color="auto" w:sz="4" w:space="0"/>
              <w:bottom w:val="single" w:color="auto" w:sz="4" w:space="0"/>
              <w:right w:val="single" w:color="auto" w:sz="4" w:space="0"/>
            </w:tcBorders>
            <w:vAlign w:val="center"/>
          </w:tcPr>
          <w:p w14:paraId="13E66989">
            <w:pPr>
              <w:widowControl/>
              <w:rPr>
                <w:rFonts w:ascii="Times New Roman" w:hAnsi="Times New Roman" w:eastAsia="宋体" w:cs="Times New Roman"/>
                <w:color w:val="000000"/>
                <w:sz w:val="24"/>
              </w:rPr>
            </w:pPr>
            <w:r>
              <w:rPr>
                <w:rFonts w:hint="eastAsia" w:ascii="Times New Roman" w:hAnsi="Times New Roman" w:eastAsia="宋体" w:cs="Times New Roman"/>
                <w:color w:val="000000"/>
                <w:sz w:val="24"/>
              </w:rPr>
              <w:t>#3.C</w:t>
            </w:r>
            <w:r>
              <w:rPr>
                <w:rFonts w:ascii="Times New Roman" w:hAnsi="Times New Roman" w:eastAsia="宋体" w:cs="Times New Roman"/>
                <w:color w:val="000000"/>
                <w:sz w:val="24"/>
              </w:rPr>
              <w:t>LTC综合续航里程：</w:t>
            </w:r>
            <w:r>
              <w:rPr>
                <w:rFonts w:hint="eastAsia" w:ascii="Times New Roman" w:hAnsi="Times New Roman" w:eastAsia="宋体" w:cs="Times New Roman"/>
                <w:color w:val="000000"/>
                <w:sz w:val="24"/>
              </w:rPr>
              <w:t>≥</w:t>
            </w:r>
            <w:r>
              <w:rPr>
                <w:rFonts w:ascii="Times New Roman" w:hAnsi="Times New Roman" w:eastAsia="宋体" w:cs="Times New Roman"/>
                <w:color w:val="000000"/>
                <w:sz w:val="24"/>
              </w:rPr>
              <w:t>1200km</w:t>
            </w:r>
          </w:p>
        </w:tc>
      </w:tr>
      <w:tr w14:paraId="3F5F746C">
        <w:tblPrEx>
          <w:tblCellMar>
            <w:top w:w="0" w:type="dxa"/>
            <w:left w:w="108" w:type="dxa"/>
            <w:bottom w:w="0" w:type="dxa"/>
            <w:right w:w="108" w:type="dxa"/>
          </w:tblCellMar>
        </w:tblPrEx>
        <w:trPr>
          <w:trHeight w:val="468" w:hRule="atLeast"/>
        </w:trPr>
        <w:tc>
          <w:tcPr>
            <w:tcW w:w="8254" w:type="dxa"/>
            <w:tcBorders>
              <w:top w:val="nil"/>
              <w:left w:val="single" w:color="auto" w:sz="4" w:space="0"/>
              <w:bottom w:val="single" w:color="auto" w:sz="4" w:space="0"/>
              <w:right w:val="single" w:color="auto" w:sz="4" w:space="0"/>
            </w:tcBorders>
            <w:vAlign w:val="center"/>
          </w:tcPr>
          <w:p w14:paraId="05F24888">
            <w:pPr>
              <w:widowControl/>
              <w:rPr>
                <w:rFonts w:ascii="Times New Roman" w:hAnsi="Times New Roman" w:eastAsia="宋体" w:cs="Times New Roman"/>
                <w:color w:val="000000"/>
                <w:sz w:val="24"/>
              </w:rPr>
            </w:pPr>
            <w:r>
              <w:rPr>
                <w:rFonts w:hint="eastAsia" w:ascii="Times New Roman" w:hAnsi="Times New Roman" w:eastAsia="宋体" w:cs="Times New Roman"/>
                <w:color w:val="000000"/>
                <w:sz w:val="24"/>
              </w:rPr>
              <w:t>#4.系统综合扭矩（N·m）：≥</w:t>
            </w:r>
            <w:r>
              <w:rPr>
                <w:rFonts w:ascii="Times New Roman" w:hAnsi="Times New Roman" w:eastAsia="宋体" w:cs="Times New Roman"/>
                <w:color w:val="000000"/>
                <w:sz w:val="24"/>
              </w:rPr>
              <w:t>600</w:t>
            </w:r>
          </w:p>
        </w:tc>
      </w:tr>
      <w:tr w14:paraId="51E00A69">
        <w:tblPrEx>
          <w:tblCellMar>
            <w:top w:w="0" w:type="dxa"/>
            <w:left w:w="108" w:type="dxa"/>
            <w:bottom w:w="0" w:type="dxa"/>
            <w:right w:w="108" w:type="dxa"/>
          </w:tblCellMar>
        </w:tblPrEx>
        <w:trPr>
          <w:trHeight w:val="468" w:hRule="atLeast"/>
        </w:trPr>
        <w:tc>
          <w:tcPr>
            <w:tcW w:w="8254" w:type="dxa"/>
            <w:tcBorders>
              <w:top w:val="nil"/>
              <w:left w:val="single" w:color="auto" w:sz="4" w:space="0"/>
              <w:bottom w:val="single" w:color="auto" w:sz="4" w:space="0"/>
              <w:right w:val="single" w:color="auto" w:sz="4" w:space="0"/>
            </w:tcBorders>
            <w:vAlign w:val="center"/>
          </w:tcPr>
          <w:p w14:paraId="1D47DB65">
            <w:pPr>
              <w:widowControl/>
              <w:rPr>
                <w:rFonts w:ascii="Times New Roman" w:hAnsi="Times New Roman" w:eastAsia="宋体" w:cs="Times New Roman"/>
                <w:color w:val="000000"/>
                <w:sz w:val="24"/>
              </w:rPr>
            </w:pPr>
            <w:r>
              <w:rPr>
                <w:rFonts w:hint="eastAsia" w:ascii="Times New Roman" w:hAnsi="Times New Roman" w:eastAsia="宋体" w:cs="Times New Roman"/>
                <w:color w:val="000000"/>
                <w:sz w:val="24"/>
              </w:rPr>
              <w:t>▲5.系统综合功率（kW）：≥</w:t>
            </w:r>
            <w:r>
              <w:rPr>
                <w:rFonts w:ascii="Times New Roman" w:hAnsi="Times New Roman" w:eastAsia="宋体" w:cs="Times New Roman"/>
                <w:color w:val="000000"/>
                <w:sz w:val="24"/>
              </w:rPr>
              <w:t>390</w:t>
            </w:r>
          </w:p>
        </w:tc>
      </w:tr>
      <w:tr w14:paraId="65C2C78F">
        <w:tblPrEx>
          <w:tblCellMar>
            <w:top w:w="0" w:type="dxa"/>
            <w:left w:w="108" w:type="dxa"/>
            <w:bottom w:w="0" w:type="dxa"/>
            <w:right w:w="108" w:type="dxa"/>
          </w:tblCellMar>
        </w:tblPrEx>
        <w:trPr>
          <w:trHeight w:val="468" w:hRule="atLeast"/>
        </w:trPr>
        <w:tc>
          <w:tcPr>
            <w:tcW w:w="8254" w:type="dxa"/>
            <w:tcBorders>
              <w:top w:val="nil"/>
              <w:left w:val="single" w:color="auto" w:sz="4" w:space="0"/>
              <w:bottom w:val="single" w:color="auto" w:sz="4" w:space="0"/>
              <w:right w:val="single" w:color="auto" w:sz="4" w:space="0"/>
            </w:tcBorders>
            <w:vAlign w:val="center"/>
          </w:tcPr>
          <w:p w14:paraId="7239EC70">
            <w:pPr>
              <w:widowControl/>
              <w:rPr>
                <w:rFonts w:ascii="Times New Roman" w:hAnsi="Times New Roman" w:eastAsia="宋体" w:cs="Times New Roman"/>
                <w:color w:val="000000"/>
                <w:sz w:val="24"/>
              </w:rPr>
            </w:pPr>
            <w:r>
              <w:rPr>
                <w:rFonts w:hint="eastAsia" w:ascii="Times New Roman" w:hAnsi="Times New Roman" w:eastAsia="宋体" w:cs="Times New Roman"/>
                <w:color w:val="000000"/>
                <w:sz w:val="24"/>
              </w:rPr>
              <w:t>#6.整备质量(kg)：≥</w:t>
            </w:r>
            <w:r>
              <w:rPr>
                <w:rFonts w:ascii="Times New Roman" w:hAnsi="Times New Roman" w:eastAsia="宋体" w:cs="Times New Roman"/>
                <w:color w:val="000000"/>
                <w:sz w:val="24"/>
              </w:rPr>
              <w:t>2500</w:t>
            </w:r>
          </w:p>
        </w:tc>
      </w:tr>
      <w:tr w14:paraId="665D9C04">
        <w:tblPrEx>
          <w:tblCellMar>
            <w:top w:w="0" w:type="dxa"/>
            <w:left w:w="108" w:type="dxa"/>
            <w:bottom w:w="0" w:type="dxa"/>
            <w:right w:w="108" w:type="dxa"/>
          </w:tblCellMar>
        </w:tblPrEx>
        <w:trPr>
          <w:trHeight w:val="468" w:hRule="atLeast"/>
        </w:trPr>
        <w:tc>
          <w:tcPr>
            <w:tcW w:w="8254" w:type="dxa"/>
            <w:tcBorders>
              <w:top w:val="nil"/>
              <w:left w:val="single" w:color="auto" w:sz="4" w:space="0"/>
              <w:bottom w:val="single" w:color="auto" w:sz="4" w:space="0"/>
              <w:right w:val="single" w:color="auto" w:sz="4" w:space="0"/>
            </w:tcBorders>
            <w:vAlign w:val="center"/>
          </w:tcPr>
          <w:p w14:paraId="5673E64F">
            <w:pPr>
              <w:widowControl/>
              <w:rPr>
                <w:rFonts w:ascii="Times New Roman" w:hAnsi="Times New Roman" w:eastAsia="宋体" w:cs="Times New Roman"/>
                <w:color w:val="000000"/>
                <w:sz w:val="24"/>
              </w:rPr>
            </w:pPr>
            <w:r>
              <w:rPr>
                <w:rFonts w:hint="eastAsia" w:ascii="Times New Roman" w:hAnsi="Times New Roman" w:eastAsia="宋体" w:cs="Times New Roman"/>
                <w:color w:val="000000"/>
                <w:sz w:val="24"/>
              </w:rPr>
              <w:t>#7.额定载客人：</w:t>
            </w:r>
            <w:r>
              <w:rPr>
                <w:rFonts w:ascii="Times New Roman" w:hAnsi="Times New Roman" w:eastAsia="宋体" w:cs="Times New Roman"/>
                <w:color w:val="000000"/>
                <w:sz w:val="24"/>
              </w:rPr>
              <w:t>5</w:t>
            </w:r>
          </w:p>
        </w:tc>
      </w:tr>
      <w:tr w14:paraId="0C7124C3">
        <w:tblPrEx>
          <w:tblCellMar>
            <w:top w:w="0" w:type="dxa"/>
            <w:left w:w="108" w:type="dxa"/>
            <w:bottom w:w="0" w:type="dxa"/>
            <w:right w:w="108" w:type="dxa"/>
          </w:tblCellMar>
        </w:tblPrEx>
        <w:trPr>
          <w:trHeight w:val="468" w:hRule="atLeast"/>
        </w:trPr>
        <w:tc>
          <w:tcPr>
            <w:tcW w:w="8254" w:type="dxa"/>
            <w:tcBorders>
              <w:top w:val="nil"/>
              <w:left w:val="single" w:color="auto" w:sz="4" w:space="0"/>
              <w:bottom w:val="single" w:color="auto" w:sz="4" w:space="0"/>
              <w:right w:val="single" w:color="auto" w:sz="4" w:space="0"/>
            </w:tcBorders>
            <w:vAlign w:val="center"/>
          </w:tcPr>
          <w:p w14:paraId="18786F26">
            <w:pPr>
              <w:widowControl/>
              <w:rPr>
                <w:rFonts w:ascii="Times New Roman" w:hAnsi="Times New Roman" w:eastAsia="宋体" w:cs="Times New Roman"/>
                <w:color w:val="000000"/>
                <w:sz w:val="24"/>
              </w:rPr>
            </w:pPr>
            <w:r>
              <w:rPr>
                <w:rFonts w:hint="eastAsia" w:ascii="Times New Roman" w:hAnsi="Times New Roman" w:eastAsia="宋体" w:cs="Times New Roman"/>
                <w:color w:val="000000"/>
                <w:sz w:val="24"/>
              </w:rPr>
              <w:t>★8.外形尺寸长（mm）：4750≤长≤5000</w:t>
            </w:r>
          </w:p>
        </w:tc>
      </w:tr>
      <w:tr w14:paraId="05458A77">
        <w:tblPrEx>
          <w:tblCellMar>
            <w:top w:w="0" w:type="dxa"/>
            <w:left w:w="108" w:type="dxa"/>
            <w:bottom w:w="0" w:type="dxa"/>
            <w:right w:w="108" w:type="dxa"/>
          </w:tblCellMar>
        </w:tblPrEx>
        <w:trPr>
          <w:trHeight w:val="468" w:hRule="atLeast"/>
        </w:trPr>
        <w:tc>
          <w:tcPr>
            <w:tcW w:w="8254" w:type="dxa"/>
            <w:tcBorders>
              <w:top w:val="nil"/>
              <w:left w:val="single" w:color="auto" w:sz="4" w:space="0"/>
              <w:bottom w:val="single" w:color="auto" w:sz="4" w:space="0"/>
              <w:right w:val="single" w:color="auto" w:sz="4" w:space="0"/>
            </w:tcBorders>
            <w:vAlign w:val="center"/>
          </w:tcPr>
          <w:p w14:paraId="00371D60">
            <w:pPr>
              <w:widowControl/>
              <w:rPr>
                <w:rFonts w:ascii="Times New Roman" w:hAnsi="Times New Roman" w:eastAsia="宋体" w:cs="Times New Roman"/>
                <w:color w:val="000000"/>
                <w:sz w:val="24"/>
              </w:rPr>
            </w:pPr>
            <w:r>
              <w:rPr>
                <w:rFonts w:hint="eastAsia" w:ascii="Times New Roman" w:hAnsi="Times New Roman" w:eastAsia="宋体" w:cs="Times New Roman"/>
                <w:color w:val="000000"/>
                <w:sz w:val="24"/>
              </w:rPr>
              <w:t>★9.外形尺寸宽（mm）：1</w:t>
            </w:r>
            <w:r>
              <w:rPr>
                <w:rFonts w:ascii="Times New Roman" w:hAnsi="Times New Roman" w:eastAsia="宋体" w:cs="Times New Roman"/>
                <w:color w:val="000000"/>
                <w:sz w:val="24"/>
              </w:rPr>
              <w:t>9</w:t>
            </w:r>
            <w:r>
              <w:rPr>
                <w:rFonts w:hint="eastAsia" w:ascii="Times New Roman" w:hAnsi="Times New Roman" w:eastAsia="宋体" w:cs="Times New Roman"/>
                <w:color w:val="000000"/>
                <w:sz w:val="24"/>
              </w:rPr>
              <w:t>00≤宽≤2</w:t>
            </w:r>
            <w:r>
              <w:rPr>
                <w:rFonts w:ascii="Times New Roman" w:hAnsi="Times New Roman" w:eastAsia="宋体" w:cs="Times New Roman"/>
                <w:color w:val="000000"/>
                <w:sz w:val="24"/>
              </w:rPr>
              <w:t>010</w:t>
            </w:r>
          </w:p>
        </w:tc>
      </w:tr>
      <w:tr w14:paraId="1D4A400E">
        <w:tblPrEx>
          <w:tblCellMar>
            <w:top w:w="0" w:type="dxa"/>
            <w:left w:w="108" w:type="dxa"/>
            <w:bottom w:w="0" w:type="dxa"/>
            <w:right w:w="108" w:type="dxa"/>
          </w:tblCellMar>
        </w:tblPrEx>
        <w:trPr>
          <w:trHeight w:val="468" w:hRule="atLeast"/>
        </w:trPr>
        <w:tc>
          <w:tcPr>
            <w:tcW w:w="8254" w:type="dxa"/>
            <w:tcBorders>
              <w:top w:val="nil"/>
              <w:left w:val="single" w:color="auto" w:sz="4" w:space="0"/>
              <w:bottom w:val="single" w:color="auto" w:sz="4" w:space="0"/>
              <w:right w:val="single" w:color="auto" w:sz="4" w:space="0"/>
            </w:tcBorders>
            <w:vAlign w:val="center"/>
          </w:tcPr>
          <w:p w14:paraId="1D9EE2A0">
            <w:pPr>
              <w:widowControl/>
              <w:rPr>
                <w:rFonts w:ascii="Times New Roman" w:hAnsi="Times New Roman" w:eastAsia="宋体" w:cs="Times New Roman"/>
                <w:color w:val="000000"/>
                <w:sz w:val="24"/>
              </w:rPr>
            </w:pPr>
            <w:r>
              <w:rPr>
                <w:rFonts w:hint="eastAsia" w:ascii="Times New Roman" w:hAnsi="Times New Roman" w:eastAsia="宋体" w:cs="Times New Roman"/>
                <w:color w:val="000000"/>
                <w:sz w:val="24"/>
              </w:rPr>
              <w:t>★10.外形尺寸高（mm）：1</w:t>
            </w:r>
            <w:r>
              <w:rPr>
                <w:rFonts w:ascii="Times New Roman" w:hAnsi="Times New Roman" w:eastAsia="宋体" w:cs="Times New Roman"/>
                <w:color w:val="000000"/>
                <w:sz w:val="24"/>
              </w:rPr>
              <w:t>84</w:t>
            </w:r>
            <w:r>
              <w:rPr>
                <w:rFonts w:hint="eastAsia" w:ascii="Times New Roman" w:hAnsi="Times New Roman" w:eastAsia="宋体" w:cs="Times New Roman"/>
                <w:color w:val="000000"/>
                <w:sz w:val="24"/>
              </w:rPr>
              <w:t>0≤高≤</w:t>
            </w:r>
            <w:r>
              <w:rPr>
                <w:rFonts w:ascii="Times New Roman" w:hAnsi="Times New Roman" w:eastAsia="宋体" w:cs="Times New Roman"/>
                <w:color w:val="000000"/>
                <w:sz w:val="24"/>
              </w:rPr>
              <w:t>1990</w:t>
            </w:r>
          </w:p>
        </w:tc>
      </w:tr>
      <w:tr w14:paraId="33FF06A7">
        <w:tblPrEx>
          <w:tblCellMar>
            <w:top w:w="0" w:type="dxa"/>
            <w:left w:w="108" w:type="dxa"/>
            <w:bottom w:w="0" w:type="dxa"/>
            <w:right w:w="108" w:type="dxa"/>
          </w:tblCellMar>
        </w:tblPrEx>
        <w:trPr>
          <w:trHeight w:val="468" w:hRule="atLeast"/>
        </w:trPr>
        <w:tc>
          <w:tcPr>
            <w:tcW w:w="8254" w:type="dxa"/>
            <w:tcBorders>
              <w:top w:val="nil"/>
              <w:left w:val="single" w:color="auto" w:sz="4" w:space="0"/>
              <w:bottom w:val="single" w:color="auto" w:sz="4" w:space="0"/>
              <w:right w:val="single" w:color="auto" w:sz="4" w:space="0"/>
            </w:tcBorders>
            <w:vAlign w:val="center"/>
          </w:tcPr>
          <w:p w14:paraId="63D3D68A">
            <w:pPr>
              <w:widowControl/>
              <w:rPr>
                <w:rFonts w:ascii="Times New Roman" w:hAnsi="Times New Roman" w:eastAsia="宋体" w:cs="Times New Roman"/>
                <w:color w:val="000000"/>
                <w:sz w:val="24"/>
              </w:rPr>
            </w:pPr>
            <w:r>
              <w:rPr>
                <w:rFonts w:hint="eastAsia" w:ascii="Times New Roman" w:hAnsi="Times New Roman" w:eastAsia="宋体" w:cs="Times New Roman"/>
                <w:color w:val="000000"/>
                <w:sz w:val="24"/>
              </w:rPr>
              <w:t>#11.驱动方式：双电机四驱</w:t>
            </w:r>
          </w:p>
        </w:tc>
      </w:tr>
      <w:tr w14:paraId="0680CF5A">
        <w:tblPrEx>
          <w:tblCellMar>
            <w:top w:w="0" w:type="dxa"/>
            <w:left w:w="108" w:type="dxa"/>
            <w:bottom w:w="0" w:type="dxa"/>
            <w:right w:w="108" w:type="dxa"/>
          </w:tblCellMar>
        </w:tblPrEx>
        <w:trPr>
          <w:trHeight w:val="468" w:hRule="atLeast"/>
        </w:trPr>
        <w:tc>
          <w:tcPr>
            <w:tcW w:w="8254" w:type="dxa"/>
            <w:tcBorders>
              <w:top w:val="nil"/>
              <w:left w:val="single" w:color="auto" w:sz="4" w:space="0"/>
              <w:bottom w:val="single" w:color="auto" w:sz="4" w:space="0"/>
              <w:right w:val="single" w:color="auto" w:sz="4" w:space="0"/>
            </w:tcBorders>
            <w:vAlign w:val="center"/>
          </w:tcPr>
          <w:p w14:paraId="72034164">
            <w:pPr>
              <w:widowControl/>
              <w:rPr>
                <w:rFonts w:ascii="Times New Roman" w:hAnsi="Times New Roman" w:eastAsia="宋体" w:cs="Times New Roman"/>
                <w:color w:val="000000"/>
                <w:sz w:val="24"/>
              </w:rPr>
            </w:pPr>
            <w:r>
              <w:rPr>
                <w:rFonts w:hint="eastAsia" w:ascii="Times New Roman" w:hAnsi="Times New Roman" w:eastAsia="宋体" w:cs="Times New Roman"/>
                <w:color w:val="000000"/>
                <w:sz w:val="24"/>
              </w:rPr>
              <w:t>▲12.电池类型：磷酸铁锂电池</w:t>
            </w:r>
          </w:p>
        </w:tc>
      </w:tr>
      <w:tr w14:paraId="06164DB6">
        <w:tblPrEx>
          <w:tblCellMar>
            <w:top w:w="0" w:type="dxa"/>
            <w:left w:w="108" w:type="dxa"/>
            <w:bottom w:w="0" w:type="dxa"/>
            <w:right w:w="108" w:type="dxa"/>
          </w:tblCellMar>
        </w:tblPrEx>
        <w:trPr>
          <w:trHeight w:val="468" w:hRule="atLeast"/>
        </w:trPr>
        <w:tc>
          <w:tcPr>
            <w:tcW w:w="8254" w:type="dxa"/>
            <w:tcBorders>
              <w:top w:val="nil"/>
              <w:left w:val="single" w:color="auto" w:sz="4" w:space="0"/>
              <w:bottom w:val="single" w:color="auto" w:sz="4" w:space="0"/>
              <w:right w:val="single" w:color="auto" w:sz="4" w:space="0"/>
            </w:tcBorders>
            <w:vAlign w:val="center"/>
          </w:tcPr>
          <w:p w14:paraId="6C09E122">
            <w:pPr>
              <w:widowControl/>
              <w:rPr>
                <w:rFonts w:ascii="Times New Roman" w:hAnsi="Times New Roman" w:eastAsia="宋体" w:cs="Times New Roman"/>
                <w:color w:val="000000"/>
                <w:sz w:val="24"/>
              </w:rPr>
            </w:pPr>
            <w:r>
              <w:rPr>
                <w:rFonts w:hint="eastAsia" w:ascii="Times New Roman" w:hAnsi="Times New Roman" w:eastAsia="宋体" w:cs="Times New Roman"/>
                <w:color w:val="000000"/>
                <w:sz w:val="24"/>
              </w:rPr>
              <w:t>▲13.电池能量：≥</w:t>
            </w:r>
            <w:r>
              <w:rPr>
                <w:rFonts w:ascii="Times New Roman" w:hAnsi="Times New Roman" w:eastAsia="宋体" w:cs="Times New Roman"/>
                <w:color w:val="000000"/>
                <w:sz w:val="24"/>
              </w:rPr>
              <w:t>40kWh</w:t>
            </w:r>
          </w:p>
        </w:tc>
      </w:tr>
      <w:tr w14:paraId="3A09B24C">
        <w:tblPrEx>
          <w:tblCellMar>
            <w:top w:w="0" w:type="dxa"/>
            <w:left w:w="108" w:type="dxa"/>
            <w:bottom w:w="0" w:type="dxa"/>
            <w:right w:w="108" w:type="dxa"/>
          </w:tblCellMar>
        </w:tblPrEx>
        <w:trPr>
          <w:trHeight w:val="468" w:hRule="atLeast"/>
        </w:trPr>
        <w:tc>
          <w:tcPr>
            <w:tcW w:w="8254" w:type="dxa"/>
            <w:tcBorders>
              <w:top w:val="nil"/>
              <w:left w:val="single" w:color="auto" w:sz="4" w:space="0"/>
              <w:bottom w:val="single" w:color="auto" w:sz="4" w:space="0"/>
              <w:right w:val="single" w:color="auto" w:sz="4" w:space="0"/>
            </w:tcBorders>
            <w:vAlign w:val="center"/>
          </w:tcPr>
          <w:p w14:paraId="2118955E">
            <w:pPr>
              <w:widowControl/>
              <w:rPr>
                <w:rFonts w:ascii="Times New Roman" w:hAnsi="Times New Roman" w:eastAsia="宋体" w:cs="Times New Roman"/>
                <w:color w:val="000000"/>
                <w:sz w:val="24"/>
              </w:rPr>
            </w:pPr>
            <w:r>
              <w:rPr>
                <w:rFonts w:hint="eastAsia" w:ascii="Times New Roman" w:hAnsi="Times New Roman" w:eastAsia="宋体" w:cs="Times New Roman"/>
                <w:color w:val="000000"/>
                <w:sz w:val="24"/>
              </w:rPr>
              <w:t>▲14.C</w:t>
            </w:r>
            <w:r>
              <w:rPr>
                <w:rFonts w:ascii="Times New Roman" w:hAnsi="Times New Roman" w:eastAsia="宋体" w:cs="Times New Roman"/>
                <w:color w:val="000000"/>
                <w:sz w:val="24"/>
              </w:rPr>
              <w:t>LTC纯电续航里程</w:t>
            </w:r>
            <w:r>
              <w:rPr>
                <w:rFonts w:hint="eastAsia" w:ascii="Times New Roman" w:hAnsi="Times New Roman" w:eastAsia="宋体" w:cs="Times New Roman"/>
                <w:color w:val="000000"/>
                <w:sz w:val="24"/>
              </w:rPr>
              <w:t>：≥</w:t>
            </w:r>
            <w:r>
              <w:rPr>
                <w:rFonts w:ascii="Times New Roman" w:hAnsi="Times New Roman" w:eastAsia="宋体" w:cs="Times New Roman"/>
                <w:color w:val="000000"/>
                <w:sz w:val="24"/>
              </w:rPr>
              <w:t>180km</w:t>
            </w:r>
            <w:r>
              <w:rPr>
                <w:rFonts w:hint="eastAsia" w:ascii="Times New Roman" w:hAnsi="Times New Roman" w:eastAsia="宋体" w:cs="Times New Roman"/>
                <w:color w:val="000000"/>
                <w:sz w:val="24"/>
              </w:rPr>
              <w:t xml:space="preserve">       </w:t>
            </w:r>
          </w:p>
        </w:tc>
      </w:tr>
      <w:tr w14:paraId="68CBC45E">
        <w:tblPrEx>
          <w:tblCellMar>
            <w:top w:w="0" w:type="dxa"/>
            <w:left w:w="108" w:type="dxa"/>
            <w:bottom w:w="0" w:type="dxa"/>
            <w:right w:w="108" w:type="dxa"/>
          </w:tblCellMar>
        </w:tblPrEx>
        <w:trPr>
          <w:trHeight w:val="468" w:hRule="atLeast"/>
        </w:trPr>
        <w:tc>
          <w:tcPr>
            <w:tcW w:w="8254" w:type="dxa"/>
            <w:tcBorders>
              <w:top w:val="nil"/>
              <w:left w:val="single" w:color="auto" w:sz="4" w:space="0"/>
              <w:bottom w:val="single" w:color="auto" w:sz="4" w:space="0"/>
              <w:right w:val="single" w:color="auto" w:sz="4" w:space="0"/>
            </w:tcBorders>
            <w:vAlign w:val="center"/>
          </w:tcPr>
          <w:p w14:paraId="0418B98C">
            <w:pPr>
              <w:widowControl/>
              <w:rPr>
                <w:rFonts w:ascii="Times New Roman" w:hAnsi="Times New Roman" w:eastAsia="宋体" w:cs="Times New Roman"/>
                <w:color w:val="000000"/>
                <w:sz w:val="24"/>
              </w:rPr>
            </w:pPr>
            <w:r>
              <w:rPr>
                <w:rFonts w:hint="eastAsia" w:ascii="Times New Roman" w:hAnsi="Times New Roman" w:eastAsia="宋体" w:cs="Times New Roman"/>
                <w:color w:val="000000"/>
                <w:sz w:val="24"/>
              </w:rPr>
              <w:t>▲15.油箱容积（L）：≥</w:t>
            </w:r>
            <w:r>
              <w:rPr>
                <w:rFonts w:ascii="Times New Roman" w:hAnsi="Times New Roman" w:eastAsia="宋体" w:cs="Times New Roman"/>
                <w:color w:val="000000"/>
                <w:sz w:val="24"/>
              </w:rPr>
              <w:t>8</w:t>
            </w:r>
            <w:r>
              <w:rPr>
                <w:rFonts w:hint="eastAsia" w:ascii="Times New Roman" w:hAnsi="Times New Roman" w:eastAsia="宋体" w:cs="Times New Roman"/>
                <w:color w:val="000000"/>
                <w:sz w:val="24"/>
              </w:rPr>
              <w:t xml:space="preserve">0         </w:t>
            </w:r>
          </w:p>
        </w:tc>
      </w:tr>
      <w:tr w14:paraId="00605B98">
        <w:tblPrEx>
          <w:tblCellMar>
            <w:top w:w="0" w:type="dxa"/>
            <w:left w:w="108" w:type="dxa"/>
            <w:bottom w:w="0" w:type="dxa"/>
            <w:right w:w="108" w:type="dxa"/>
          </w:tblCellMar>
        </w:tblPrEx>
        <w:trPr>
          <w:trHeight w:val="468" w:hRule="atLeast"/>
        </w:trPr>
        <w:tc>
          <w:tcPr>
            <w:tcW w:w="8254" w:type="dxa"/>
            <w:tcBorders>
              <w:top w:val="nil"/>
              <w:left w:val="single" w:color="auto" w:sz="4" w:space="0"/>
              <w:bottom w:val="single" w:color="auto" w:sz="4" w:space="0"/>
              <w:right w:val="single" w:color="auto" w:sz="4" w:space="0"/>
            </w:tcBorders>
            <w:vAlign w:val="center"/>
          </w:tcPr>
          <w:p w14:paraId="3958FE45">
            <w:pPr>
              <w:widowControl/>
              <w:rPr>
                <w:rFonts w:ascii="Times New Roman" w:hAnsi="Times New Roman" w:eastAsia="宋体" w:cs="Times New Roman"/>
                <w:color w:val="000000"/>
                <w:sz w:val="24"/>
              </w:rPr>
            </w:pPr>
            <w:r>
              <w:rPr>
                <w:rFonts w:hint="eastAsia" w:ascii="Times New Roman" w:hAnsi="Times New Roman" w:eastAsia="宋体" w:cs="Times New Roman"/>
                <w:color w:val="000000"/>
                <w:sz w:val="24"/>
              </w:rPr>
              <w:t>▲16.车身形式：非承载式</w:t>
            </w:r>
          </w:p>
        </w:tc>
      </w:tr>
      <w:tr w14:paraId="056AC811">
        <w:tblPrEx>
          <w:tblCellMar>
            <w:top w:w="0" w:type="dxa"/>
            <w:left w:w="108" w:type="dxa"/>
            <w:bottom w:w="0" w:type="dxa"/>
            <w:right w:w="108" w:type="dxa"/>
          </w:tblCellMar>
        </w:tblPrEx>
        <w:trPr>
          <w:trHeight w:val="468" w:hRule="atLeast"/>
        </w:trPr>
        <w:tc>
          <w:tcPr>
            <w:tcW w:w="8254" w:type="dxa"/>
            <w:tcBorders>
              <w:top w:val="nil"/>
              <w:left w:val="single" w:color="auto" w:sz="4" w:space="0"/>
              <w:bottom w:val="single" w:color="auto" w:sz="4" w:space="0"/>
              <w:right w:val="single" w:color="auto" w:sz="4" w:space="0"/>
            </w:tcBorders>
            <w:vAlign w:val="center"/>
          </w:tcPr>
          <w:p w14:paraId="2EAAC167">
            <w:pPr>
              <w:widowControl/>
              <w:rPr>
                <w:rFonts w:ascii="Times New Roman" w:hAnsi="Times New Roman" w:eastAsia="宋体" w:cs="Times New Roman"/>
                <w:color w:val="000000"/>
                <w:sz w:val="24"/>
              </w:rPr>
            </w:pPr>
            <w:r>
              <w:rPr>
                <w:rFonts w:hint="eastAsia" w:ascii="Times New Roman" w:hAnsi="Times New Roman" w:eastAsia="宋体" w:cs="Times New Roman"/>
                <w:color w:val="000000"/>
                <w:sz w:val="24"/>
              </w:rPr>
              <w:t>▲17.最小离地间隙：≥2</w:t>
            </w:r>
            <w:r>
              <w:rPr>
                <w:rFonts w:ascii="Times New Roman" w:hAnsi="Times New Roman" w:eastAsia="宋体" w:cs="Times New Roman"/>
                <w:color w:val="000000"/>
                <w:sz w:val="24"/>
              </w:rPr>
              <w:t>1</w:t>
            </w:r>
            <w:r>
              <w:rPr>
                <w:rFonts w:hint="eastAsia" w:ascii="Times New Roman" w:hAnsi="Times New Roman" w:eastAsia="宋体" w:cs="Times New Roman"/>
                <w:color w:val="000000"/>
                <w:sz w:val="24"/>
              </w:rPr>
              <w:t>5mm</w:t>
            </w:r>
          </w:p>
        </w:tc>
      </w:tr>
      <w:tr w14:paraId="7F7CD853">
        <w:tblPrEx>
          <w:tblCellMar>
            <w:top w:w="0" w:type="dxa"/>
            <w:left w:w="108" w:type="dxa"/>
            <w:bottom w:w="0" w:type="dxa"/>
            <w:right w:w="108" w:type="dxa"/>
          </w:tblCellMar>
        </w:tblPrEx>
        <w:trPr>
          <w:trHeight w:val="468" w:hRule="atLeast"/>
        </w:trPr>
        <w:tc>
          <w:tcPr>
            <w:tcW w:w="8254" w:type="dxa"/>
            <w:tcBorders>
              <w:top w:val="nil"/>
              <w:left w:val="single" w:color="auto" w:sz="4" w:space="0"/>
              <w:bottom w:val="single" w:color="auto" w:sz="4" w:space="0"/>
              <w:right w:val="single" w:color="auto" w:sz="4" w:space="0"/>
            </w:tcBorders>
            <w:vAlign w:val="center"/>
          </w:tcPr>
          <w:p w14:paraId="69D87149">
            <w:pPr>
              <w:widowControl/>
              <w:rPr>
                <w:rFonts w:ascii="Times New Roman" w:hAnsi="Times New Roman" w:eastAsia="宋体" w:cs="Times New Roman"/>
                <w:color w:val="000000"/>
                <w:sz w:val="24"/>
              </w:rPr>
            </w:pPr>
            <w:r>
              <w:rPr>
                <w:rFonts w:hint="eastAsia" w:ascii="Times New Roman" w:hAnsi="Times New Roman" w:eastAsia="宋体" w:cs="Times New Roman"/>
                <w:color w:val="000000"/>
                <w:sz w:val="24"/>
              </w:rPr>
              <w:t>#18.后悬挂类型：多连杆式独立悬架</w:t>
            </w:r>
          </w:p>
        </w:tc>
      </w:tr>
      <w:tr w14:paraId="2E61FF61">
        <w:tblPrEx>
          <w:tblCellMar>
            <w:top w:w="0" w:type="dxa"/>
            <w:left w:w="108" w:type="dxa"/>
            <w:bottom w:w="0" w:type="dxa"/>
            <w:right w:w="108" w:type="dxa"/>
          </w:tblCellMar>
        </w:tblPrEx>
        <w:trPr>
          <w:trHeight w:val="468" w:hRule="atLeast"/>
        </w:trPr>
        <w:tc>
          <w:tcPr>
            <w:tcW w:w="8254" w:type="dxa"/>
            <w:tcBorders>
              <w:top w:val="nil"/>
              <w:left w:val="single" w:color="auto" w:sz="4" w:space="0"/>
              <w:bottom w:val="single" w:color="auto" w:sz="4" w:space="0"/>
              <w:right w:val="single" w:color="auto" w:sz="4" w:space="0"/>
            </w:tcBorders>
            <w:vAlign w:val="center"/>
          </w:tcPr>
          <w:p w14:paraId="237B75FE">
            <w:pPr>
              <w:widowControl/>
              <w:rPr>
                <w:rFonts w:ascii="Times New Roman" w:hAnsi="Times New Roman" w:eastAsia="宋体" w:cs="Times New Roman"/>
                <w:color w:val="000000"/>
                <w:sz w:val="24"/>
              </w:rPr>
            </w:pPr>
            <w:r>
              <w:rPr>
                <w:rFonts w:hint="eastAsia" w:ascii="Times New Roman" w:hAnsi="Times New Roman" w:eastAsia="宋体" w:cs="Times New Roman"/>
                <w:color w:val="000000"/>
                <w:sz w:val="24"/>
              </w:rPr>
              <w:t>#19.主副驾安全气囊：有</w:t>
            </w:r>
          </w:p>
        </w:tc>
      </w:tr>
      <w:tr w14:paraId="4266F9FB">
        <w:tblPrEx>
          <w:tblCellMar>
            <w:top w:w="0" w:type="dxa"/>
            <w:left w:w="108" w:type="dxa"/>
            <w:bottom w:w="0" w:type="dxa"/>
            <w:right w:w="108" w:type="dxa"/>
          </w:tblCellMar>
        </w:tblPrEx>
        <w:trPr>
          <w:trHeight w:val="468" w:hRule="atLeast"/>
        </w:trPr>
        <w:tc>
          <w:tcPr>
            <w:tcW w:w="8254" w:type="dxa"/>
            <w:tcBorders>
              <w:top w:val="nil"/>
              <w:left w:val="single" w:color="auto" w:sz="4" w:space="0"/>
              <w:bottom w:val="single" w:color="auto" w:sz="4" w:space="0"/>
              <w:right w:val="single" w:color="auto" w:sz="4" w:space="0"/>
            </w:tcBorders>
            <w:vAlign w:val="center"/>
          </w:tcPr>
          <w:p w14:paraId="68864567">
            <w:pPr>
              <w:widowControl/>
              <w:rPr>
                <w:rFonts w:ascii="Times New Roman" w:hAnsi="Times New Roman" w:eastAsia="宋体" w:cs="Times New Roman"/>
                <w:color w:val="000000"/>
                <w:sz w:val="24"/>
              </w:rPr>
            </w:pPr>
            <w:r>
              <w:rPr>
                <w:rFonts w:hint="eastAsia" w:ascii="Times New Roman" w:hAnsi="Times New Roman" w:eastAsia="宋体" w:cs="Times New Roman"/>
                <w:color w:val="000000"/>
                <w:sz w:val="24"/>
              </w:rPr>
              <w:t>▲20.接近角：≥</w:t>
            </w:r>
            <w:r>
              <w:rPr>
                <w:rFonts w:ascii="Times New Roman" w:hAnsi="Times New Roman" w:eastAsia="宋体" w:cs="Times New Roman"/>
                <w:color w:val="000000"/>
                <w:sz w:val="24"/>
              </w:rPr>
              <w:t>36°</w:t>
            </w:r>
          </w:p>
        </w:tc>
      </w:tr>
      <w:tr w14:paraId="3477B89C">
        <w:tblPrEx>
          <w:tblCellMar>
            <w:top w:w="0" w:type="dxa"/>
            <w:left w:w="108" w:type="dxa"/>
            <w:bottom w:w="0" w:type="dxa"/>
            <w:right w:w="108" w:type="dxa"/>
          </w:tblCellMar>
        </w:tblPrEx>
        <w:trPr>
          <w:trHeight w:val="468" w:hRule="atLeast"/>
        </w:trPr>
        <w:tc>
          <w:tcPr>
            <w:tcW w:w="8254" w:type="dxa"/>
            <w:tcBorders>
              <w:top w:val="nil"/>
              <w:left w:val="single" w:color="auto" w:sz="4" w:space="0"/>
              <w:bottom w:val="single" w:color="auto" w:sz="4" w:space="0"/>
              <w:right w:val="single" w:color="auto" w:sz="4" w:space="0"/>
            </w:tcBorders>
            <w:vAlign w:val="center"/>
          </w:tcPr>
          <w:p w14:paraId="5B5F908E">
            <w:pPr>
              <w:widowControl/>
              <w:rPr>
                <w:rFonts w:ascii="Times New Roman" w:hAnsi="Times New Roman" w:eastAsia="宋体" w:cs="Times New Roman"/>
                <w:color w:val="000000"/>
                <w:sz w:val="24"/>
              </w:rPr>
            </w:pPr>
            <w:r>
              <w:rPr>
                <w:rFonts w:hint="eastAsia" w:ascii="Times New Roman" w:hAnsi="Times New Roman" w:eastAsia="宋体" w:cs="Times New Roman"/>
                <w:color w:val="000000"/>
                <w:sz w:val="24"/>
              </w:rPr>
              <w:t>▲21.离去角：≥</w:t>
            </w:r>
            <w:r>
              <w:rPr>
                <w:rFonts w:ascii="Times New Roman" w:hAnsi="Times New Roman" w:eastAsia="宋体" w:cs="Times New Roman"/>
                <w:color w:val="000000"/>
                <w:sz w:val="24"/>
              </w:rPr>
              <w:t>34°</w:t>
            </w:r>
          </w:p>
        </w:tc>
      </w:tr>
      <w:tr w14:paraId="18A1828B">
        <w:tblPrEx>
          <w:tblCellMar>
            <w:top w:w="0" w:type="dxa"/>
            <w:left w:w="108" w:type="dxa"/>
            <w:bottom w:w="0" w:type="dxa"/>
            <w:right w:w="108" w:type="dxa"/>
          </w:tblCellMar>
        </w:tblPrEx>
        <w:trPr>
          <w:trHeight w:val="468" w:hRule="atLeast"/>
        </w:trPr>
        <w:tc>
          <w:tcPr>
            <w:tcW w:w="8254" w:type="dxa"/>
            <w:tcBorders>
              <w:top w:val="nil"/>
              <w:left w:val="single" w:color="auto" w:sz="4" w:space="0"/>
              <w:bottom w:val="single" w:color="auto" w:sz="4" w:space="0"/>
              <w:right w:val="single" w:color="auto" w:sz="4" w:space="0"/>
            </w:tcBorders>
            <w:vAlign w:val="center"/>
          </w:tcPr>
          <w:p w14:paraId="69E13A7E">
            <w:pPr>
              <w:widowControl/>
              <w:rPr>
                <w:rFonts w:ascii="Times New Roman" w:hAnsi="Times New Roman" w:eastAsia="宋体" w:cs="Times New Roman"/>
                <w:color w:val="000000"/>
                <w:sz w:val="24"/>
              </w:rPr>
            </w:pPr>
            <w:r>
              <w:rPr>
                <w:rFonts w:hint="eastAsia" w:ascii="Times New Roman" w:hAnsi="Times New Roman" w:eastAsia="宋体" w:cs="Times New Roman"/>
                <w:color w:val="000000"/>
                <w:sz w:val="24"/>
              </w:rPr>
              <w:t>▲22.车身稳定控制系统：有</w:t>
            </w:r>
          </w:p>
        </w:tc>
      </w:tr>
      <w:tr w14:paraId="175F1948">
        <w:tblPrEx>
          <w:tblCellMar>
            <w:top w:w="0" w:type="dxa"/>
            <w:left w:w="108" w:type="dxa"/>
            <w:bottom w:w="0" w:type="dxa"/>
            <w:right w:w="108" w:type="dxa"/>
          </w:tblCellMar>
        </w:tblPrEx>
        <w:trPr>
          <w:trHeight w:val="468" w:hRule="atLeast"/>
        </w:trPr>
        <w:tc>
          <w:tcPr>
            <w:tcW w:w="8254" w:type="dxa"/>
            <w:tcBorders>
              <w:top w:val="nil"/>
              <w:left w:val="single" w:color="auto" w:sz="4" w:space="0"/>
              <w:bottom w:val="single" w:color="auto" w:sz="4" w:space="0"/>
              <w:right w:val="single" w:color="auto" w:sz="4" w:space="0"/>
            </w:tcBorders>
            <w:vAlign w:val="center"/>
          </w:tcPr>
          <w:p w14:paraId="6CD68A99">
            <w:pPr>
              <w:widowControl/>
              <w:rPr>
                <w:rFonts w:ascii="Times New Roman" w:hAnsi="Times New Roman" w:eastAsia="宋体" w:cs="Times New Roman"/>
                <w:color w:val="000000"/>
                <w:sz w:val="24"/>
              </w:rPr>
            </w:pPr>
            <w:r>
              <w:rPr>
                <w:rFonts w:hint="eastAsia" w:ascii="Times New Roman" w:hAnsi="Times New Roman" w:eastAsia="宋体" w:cs="Times New Roman"/>
                <w:color w:val="000000"/>
                <w:sz w:val="24"/>
              </w:rPr>
              <w:t>#23.倒车影像：有</w:t>
            </w:r>
          </w:p>
        </w:tc>
      </w:tr>
      <w:tr w14:paraId="51C5907B">
        <w:tblPrEx>
          <w:tblCellMar>
            <w:top w:w="0" w:type="dxa"/>
            <w:left w:w="108" w:type="dxa"/>
            <w:bottom w:w="0" w:type="dxa"/>
            <w:right w:w="108" w:type="dxa"/>
          </w:tblCellMar>
        </w:tblPrEx>
        <w:trPr>
          <w:trHeight w:val="468" w:hRule="atLeast"/>
        </w:trPr>
        <w:tc>
          <w:tcPr>
            <w:tcW w:w="8254" w:type="dxa"/>
            <w:tcBorders>
              <w:top w:val="nil"/>
              <w:left w:val="single" w:color="auto" w:sz="4" w:space="0"/>
              <w:bottom w:val="single" w:color="auto" w:sz="4" w:space="0"/>
              <w:right w:val="single" w:color="auto" w:sz="4" w:space="0"/>
            </w:tcBorders>
            <w:vAlign w:val="center"/>
          </w:tcPr>
          <w:p w14:paraId="6F2E8032">
            <w:pPr>
              <w:widowControl/>
              <w:rPr>
                <w:rFonts w:ascii="Times New Roman" w:hAnsi="Times New Roman" w:eastAsia="宋体" w:cs="Times New Roman"/>
                <w:color w:val="000000"/>
                <w:sz w:val="24"/>
              </w:rPr>
            </w:pPr>
            <w:r>
              <w:rPr>
                <w:rFonts w:hint="eastAsia" w:ascii="Times New Roman" w:hAnsi="Times New Roman" w:eastAsia="宋体" w:cs="Times New Roman"/>
                <w:color w:val="000000"/>
                <w:sz w:val="24"/>
              </w:rPr>
              <w:t>#24.后驻车雷达：有</w:t>
            </w:r>
          </w:p>
        </w:tc>
      </w:tr>
      <w:tr w14:paraId="7689D8E8">
        <w:tblPrEx>
          <w:tblCellMar>
            <w:top w:w="0" w:type="dxa"/>
            <w:left w:w="108" w:type="dxa"/>
            <w:bottom w:w="0" w:type="dxa"/>
            <w:right w:w="108" w:type="dxa"/>
          </w:tblCellMar>
        </w:tblPrEx>
        <w:trPr>
          <w:trHeight w:val="468" w:hRule="atLeast"/>
        </w:trPr>
        <w:tc>
          <w:tcPr>
            <w:tcW w:w="8254" w:type="dxa"/>
            <w:tcBorders>
              <w:top w:val="nil"/>
              <w:left w:val="single" w:color="auto" w:sz="4" w:space="0"/>
              <w:bottom w:val="single" w:color="auto" w:sz="4" w:space="0"/>
              <w:right w:val="single" w:color="auto" w:sz="4" w:space="0"/>
            </w:tcBorders>
            <w:vAlign w:val="center"/>
          </w:tcPr>
          <w:p w14:paraId="234696F4">
            <w:pPr>
              <w:widowControl/>
              <w:rPr>
                <w:rFonts w:ascii="Times New Roman" w:hAnsi="Times New Roman" w:eastAsia="宋体" w:cs="Times New Roman"/>
                <w:color w:val="000000"/>
                <w:sz w:val="24"/>
              </w:rPr>
            </w:pPr>
            <w:r>
              <w:rPr>
                <w:rFonts w:hint="eastAsia" w:ascii="Times New Roman" w:hAnsi="Times New Roman" w:eastAsia="宋体" w:cs="Times New Roman"/>
                <w:color w:val="000000"/>
                <w:sz w:val="24"/>
              </w:rPr>
              <w:t>#25.发动机电子防盗系统：有</w:t>
            </w:r>
          </w:p>
        </w:tc>
      </w:tr>
      <w:tr w14:paraId="13B8E381">
        <w:tblPrEx>
          <w:tblCellMar>
            <w:top w:w="0" w:type="dxa"/>
            <w:left w:w="108" w:type="dxa"/>
            <w:bottom w:w="0" w:type="dxa"/>
            <w:right w:w="108" w:type="dxa"/>
          </w:tblCellMar>
        </w:tblPrEx>
        <w:trPr>
          <w:trHeight w:val="468" w:hRule="atLeast"/>
        </w:trPr>
        <w:tc>
          <w:tcPr>
            <w:tcW w:w="8254" w:type="dxa"/>
            <w:tcBorders>
              <w:top w:val="nil"/>
              <w:left w:val="single" w:color="auto" w:sz="4" w:space="0"/>
              <w:bottom w:val="single" w:color="auto" w:sz="4" w:space="0"/>
              <w:right w:val="single" w:color="auto" w:sz="4" w:space="0"/>
            </w:tcBorders>
            <w:vAlign w:val="center"/>
          </w:tcPr>
          <w:p w14:paraId="16386587">
            <w:pPr>
              <w:widowControl/>
              <w:rPr>
                <w:rFonts w:ascii="Times New Roman" w:hAnsi="Times New Roman" w:eastAsia="宋体" w:cs="Times New Roman"/>
                <w:color w:val="000000"/>
                <w:sz w:val="24"/>
              </w:rPr>
            </w:pPr>
            <w:r>
              <w:rPr>
                <w:rFonts w:hint="eastAsia" w:ascii="Times New Roman" w:hAnsi="Times New Roman" w:eastAsia="宋体" w:cs="Times New Roman"/>
                <w:color w:val="000000"/>
                <w:sz w:val="24"/>
              </w:rPr>
              <w:t>#26.液晶仪表屏：有</w:t>
            </w:r>
          </w:p>
        </w:tc>
      </w:tr>
      <w:tr w14:paraId="6D78B861">
        <w:tblPrEx>
          <w:tblCellMar>
            <w:top w:w="0" w:type="dxa"/>
            <w:left w:w="108" w:type="dxa"/>
            <w:bottom w:w="0" w:type="dxa"/>
            <w:right w:w="108" w:type="dxa"/>
          </w:tblCellMar>
        </w:tblPrEx>
        <w:trPr>
          <w:trHeight w:val="468" w:hRule="atLeast"/>
        </w:trPr>
        <w:tc>
          <w:tcPr>
            <w:tcW w:w="8254" w:type="dxa"/>
            <w:tcBorders>
              <w:top w:val="nil"/>
              <w:left w:val="single" w:color="auto" w:sz="4" w:space="0"/>
              <w:bottom w:val="single" w:color="auto" w:sz="4" w:space="0"/>
              <w:right w:val="single" w:color="auto" w:sz="4" w:space="0"/>
            </w:tcBorders>
            <w:vAlign w:val="center"/>
          </w:tcPr>
          <w:p w14:paraId="32085378">
            <w:pPr>
              <w:widowControl/>
              <w:rPr>
                <w:rFonts w:ascii="Times New Roman" w:hAnsi="Times New Roman" w:eastAsia="宋体" w:cs="Times New Roman"/>
                <w:color w:val="000000"/>
                <w:sz w:val="24"/>
              </w:rPr>
            </w:pPr>
            <w:r>
              <w:rPr>
                <w:rFonts w:hint="eastAsia" w:ascii="Times New Roman" w:hAnsi="Times New Roman" w:eastAsia="宋体" w:cs="Times New Roman"/>
                <w:color w:val="000000"/>
                <w:sz w:val="24"/>
              </w:rPr>
              <w:t>#27.高清触控屏+多媒体娱乐系统:有</w:t>
            </w:r>
          </w:p>
        </w:tc>
      </w:tr>
      <w:tr w14:paraId="1CDBB129">
        <w:tblPrEx>
          <w:tblCellMar>
            <w:top w:w="0" w:type="dxa"/>
            <w:left w:w="108" w:type="dxa"/>
            <w:bottom w:w="0" w:type="dxa"/>
            <w:right w:w="108" w:type="dxa"/>
          </w:tblCellMar>
        </w:tblPrEx>
        <w:trPr>
          <w:trHeight w:val="468" w:hRule="atLeast"/>
        </w:trPr>
        <w:tc>
          <w:tcPr>
            <w:tcW w:w="8254" w:type="dxa"/>
            <w:tcBorders>
              <w:top w:val="nil"/>
              <w:left w:val="single" w:color="auto" w:sz="4" w:space="0"/>
              <w:bottom w:val="single" w:color="auto" w:sz="4" w:space="0"/>
              <w:right w:val="single" w:color="auto" w:sz="4" w:space="0"/>
            </w:tcBorders>
            <w:vAlign w:val="center"/>
          </w:tcPr>
          <w:p w14:paraId="65E6C4AC">
            <w:pPr>
              <w:widowControl/>
              <w:rPr>
                <w:rFonts w:ascii="Times New Roman" w:hAnsi="Times New Roman" w:eastAsia="宋体" w:cs="Times New Roman"/>
                <w:color w:val="000000"/>
                <w:sz w:val="24"/>
              </w:rPr>
            </w:pPr>
            <w:r>
              <w:rPr>
                <w:rFonts w:hint="eastAsia" w:ascii="Times New Roman" w:hAnsi="Times New Roman" w:eastAsia="宋体" w:cs="Times New Roman"/>
                <w:color w:val="000000"/>
                <w:sz w:val="24"/>
              </w:rPr>
              <w:t>#28.蓝牙功能：有</w:t>
            </w:r>
          </w:p>
        </w:tc>
      </w:tr>
      <w:tr w14:paraId="6C5716E0">
        <w:tblPrEx>
          <w:tblCellMar>
            <w:top w:w="0" w:type="dxa"/>
            <w:left w:w="108" w:type="dxa"/>
            <w:bottom w:w="0" w:type="dxa"/>
            <w:right w:w="108" w:type="dxa"/>
          </w:tblCellMar>
        </w:tblPrEx>
        <w:trPr>
          <w:trHeight w:val="468" w:hRule="atLeast"/>
        </w:trPr>
        <w:tc>
          <w:tcPr>
            <w:tcW w:w="8254" w:type="dxa"/>
            <w:tcBorders>
              <w:top w:val="nil"/>
              <w:left w:val="single" w:color="auto" w:sz="4" w:space="0"/>
              <w:bottom w:val="single" w:color="auto" w:sz="4" w:space="0"/>
              <w:right w:val="single" w:color="auto" w:sz="4" w:space="0"/>
            </w:tcBorders>
            <w:vAlign w:val="center"/>
          </w:tcPr>
          <w:p w14:paraId="209A73F0">
            <w:pPr>
              <w:widowControl/>
              <w:rPr>
                <w:rFonts w:ascii="Times New Roman" w:hAnsi="Times New Roman" w:eastAsia="宋体" w:cs="Times New Roman"/>
                <w:color w:val="000000"/>
                <w:sz w:val="24"/>
              </w:rPr>
            </w:pPr>
            <w:r>
              <w:rPr>
                <w:rFonts w:hint="eastAsia" w:ascii="Times New Roman" w:hAnsi="Times New Roman" w:eastAsia="宋体" w:cs="Times New Roman"/>
                <w:color w:val="000000"/>
                <w:sz w:val="24"/>
              </w:rPr>
              <w:t>#29.定速巡航：有</w:t>
            </w:r>
          </w:p>
        </w:tc>
      </w:tr>
      <w:tr w14:paraId="494B4783">
        <w:tblPrEx>
          <w:tblCellMar>
            <w:top w:w="0" w:type="dxa"/>
            <w:left w:w="108" w:type="dxa"/>
            <w:bottom w:w="0" w:type="dxa"/>
            <w:right w:w="108" w:type="dxa"/>
          </w:tblCellMar>
        </w:tblPrEx>
        <w:trPr>
          <w:trHeight w:val="468" w:hRule="atLeast"/>
        </w:trPr>
        <w:tc>
          <w:tcPr>
            <w:tcW w:w="8254" w:type="dxa"/>
            <w:tcBorders>
              <w:top w:val="nil"/>
              <w:left w:val="single" w:color="auto" w:sz="4" w:space="0"/>
              <w:bottom w:val="single" w:color="auto" w:sz="4" w:space="0"/>
              <w:right w:val="single" w:color="auto" w:sz="4" w:space="0"/>
            </w:tcBorders>
            <w:vAlign w:val="center"/>
          </w:tcPr>
          <w:p w14:paraId="462B7C42">
            <w:pPr>
              <w:widowControl/>
              <w:rPr>
                <w:rFonts w:ascii="Times New Roman" w:hAnsi="Times New Roman" w:eastAsia="宋体" w:cs="Times New Roman"/>
                <w:color w:val="000000"/>
                <w:sz w:val="24"/>
              </w:rPr>
            </w:pPr>
            <w:r>
              <w:rPr>
                <w:rFonts w:hint="eastAsia" w:ascii="Times New Roman" w:hAnsi="Times New Roman" w:eastAsia="宋体" w:cs="Times New Roman"/>
                <w:color w:val="000000"/>
                <w:sz w:val="24"/>
              </w:rPr>
              <w:t>#30.后座出风口：有</w:t>
            </w:r>
          </w:p>
        </w:tc>
      </w:tr>
      <w:tr w14:paraId="191CF058">
        <w:tblPrEx>
          <w:tblCellMar>
            <w:top w:w="0" w:type="dxa"/>
            <w:left w:w="108" w:type="dxa"/>
            <w:bottom w:w="0" w:type="dxa"/>
            <w:right w:w="108" w:type="dxa"/>
          </w:tblCellMar>
        </w:tblPrEx>
        <w:trPr>
          <w:trHeight w:val="468" w:hRule="atLeast"/>
        </w:trPr>
        <w:tc>
          <w:tcPr>
            <w:tcW w:w="8254" w:type="dxa"/>
            <w:tcBorders>
              <w:top w:val="nil"/>
              <w:left w:val="single" w:color="auto" w:sz="4" w:space="0"/>
              <w:bottom w:val="single" w:color="auto" w:sz="4" w:space="0"/>
              <w:right w:val="single" w:color="auto" w:sz="4" w:space="0"/>
            </w:tcBorders>
            <w:vAlign w:val="center"/>
          </w:tcPr>
          <w:p w14:paraId="46635998">
            <w:pPr>
              <w:widowControl/>
              <w:rPr>
                <w:rFonts w:ascii="Times New Roman" w:hAnsi="Times New Roman" w:eastAsia="宋体" w:cs="Times New Roman"/>
                <w:color w:val="000000"/>
                <w:sz w:val="24"/>
              </w:rPr>
            </w:pPr>
            <w:r>
              <w:rPr>
                <w:rFonts w:hint="eastAsia" w:ascii="Times New Roman" w:hAnsi="Times New Roman" w:eastAsia="宋体" w:cs="Times New Roman"/>
                <w:color w:val="000000"/>
                <w:sz w:val="24"/>
              </w:rPr>
              <w:t>#31.上坡辅助：有</w:t>
            </w:r>
          </w:p>
        </w:tc>
      </w:tr>
      <w:tr w14:paraId="79DEE9CF">
        <w:tblPrEx>
          <w:tblCellMar>
            <w:top w:w="0" w:type="dxa"/>
            <w:left w:w="108" w:type="dxa"/>
            <w:bottom w:w="0" w:type="dxa"/>
            <w:right w:w="108" w:type="dxa"/>
          </w:tblCellMar>
        </w:tblPrEx>
        <w:trPr>
          <w:trHeight w:val="468" w:hRule="atLeast"/>
        </w:trPr>
        <w:tc>
          <w:tcPr>
            <w:tcW w:w="8254" w:type="dxa"/>
            <w:tcBorders>
              <w:top w:val="nil"/>
              <w:left w:val="single" w:color="auto" w:sz="4" w:space="0"/>
              <w:bottom w:val="single" w:color="auto" w:sz="4" w:space="0"/>
              <w:right w:val="single" w:color="auto" w:sz="4" w:space="0"/>
            </w:tcBorders>
            <w:vAlign w:val="center"/>
          </w:tcPr>
          <w:p w14:paraId="550AF3E8">
            <w:pPr>
              <w:widowControl/>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rPr>
              <w:t>#32.陡坡缓降：有</w:t>
            </w:r>
          </w:p>
        </w:tc>
      </w:tr>
      <w:tr w14:paraId="38BBDF8D">
        <w:tblPrEx>
          <w:tblCellMar>
            <w:top w:w="0" w:type="dxa"/>
            <w:left w:w="108" w:type="dxa"/>
            <w:bottom w:w="0" w:type="dxa"/>
            <w:right w:w="108" w:type="dxa"/>
          </w:tblCellMar>
        </w:tblPrEx>
        <w:trPr>
          <w:trHeight w:val="468" w:hRule="atLeast"/>
        </w:trPr>
        <w:tc>
          <w:tcPr>
            <w:tcW w:w="8254" w:type="dxa"/>
            <w:tcBorders>
              <w:top w:val="nil"/>
              <w:left w:val="single" w:color="auto" w:sz="4" w:space="0"/>
              <w:bottom w:val="single" w:color="auto" w:sz="4" w:space="0"/>
              <w:right w:val="single" w:color="auto" w:sz="4" w:space="0"/>
            </w:tcBorders>
            <w:vAlign w:val="center"/>
          </w:tcPr>
          <w:p w14:paraId="47A6DE52">
            <w:pPr>
              <w:widowControl/>
              <w:rPr>
                <w:rFonts w:ascii="Times New Roman" w:hAnsi="Times New Roman" w:eastAsia="宋体" w:cs="Times New Roman"/>
                <w:color w:val="000000"/>
                <w:sz w:val="24"/>
              </w:rPr>
            </w:pPr>
            <w:r>
              <w:rPr>
                <w:rFonts w:hint="eastAsia" w:ascii="Times New Roman" w:hAnsi="Times New Roman" w:eastAsia="宋体" w:cs="Times New Roman"/>
                <w:color w:val="000000"/>
                <w:sz w:val="24"/>
              </w:rPr>
              <w:t>#33.备胎：有</w:t>
            </w:r>
          </w:p>
        </w:tc>
      </w:tr>
      <w:tr w14:paraId="54D06E28">
        <w:tblPrEx>
          <w:tblCellMar>
            <w:top w:w="0" w:type="dxa"/>
            <w:left w:w="108" w:type="dxa"/>
            <w:bottom w:w="0" w:type="dxa"/>
            <w:right w:w="108" w:type="dxa"/>
          </w:tblCellMar>
        </w:tblPrEx>
        <w:trPr>
          <w:trHeight w:val="468" w:hRule="atLeast"/>
        </w:trPr>
        <w:tc>
          <w:tcPr>
            <w:tcW w:w="8254" w:type="dxa"/>
            <w:tcBorders>
              <w:top w:val="nil"/>
              <w:left w:val="single" w:color="auto" w:sz="4" w:space="0"/>
              <w:bottom w:val="single" w:color="auto" w:sz="4" w:space="0"/>
              <w:right w:val="single" w:color="auto" w:sz="4" w:space="0"/>
            </w:tcBorders>
            <w:vAlign w:val="center"/>
          </w:tcPr>
          <w:p w14:paraId="2816E502">
            <w:pPr>
              <w:widowControl/>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rPr>
              <w:t>#34.后桥差速锁：有</w:t>
            </w:r>
          </w:p>
        </w:tc>
      </w:tr>
      <w:tr w14:paraId="77AE67E5">
        <w:tblPrEx>
          <w:tblCellMar>
            <w:top w:w="0" w:type="dxa"/>
            <w:left w:w="108" w:type="dxa"/>
            <w:bottom w:w="0" w:type="dxa"/>
            <w:right w:w="108" w:type="dxa"/>
          </w:tblCellMar>
        </w:tblPrEx>
        <w:trPr>
          <w:trHeight w:val="468" w:hRule="atLeast"/>
        </w:trPr>
        <w:tc>
          <w:tcPr>
            <w:tcW w:w="8254" w:type="dxa"/>
            <w:tcBorders>
              <w:top w:val="nil"/>
              <w:left w:val="single" w:color="auto" w:sz="4" w:space="0"/>
              <w:bottom w:val="nil"/>
              <w:right w:val="single" w:color="auto" w:sz="4" w:space="0"/>
            </w:tcBorders>
            <w:vAlign w:val="center"/>
          </w:tcPr>
          <w:p w14:paraId="4934F6F1">
            <w:pPr>
              <w:widowControl/>
              <w:spacing w:line="240" w:lineRule="atLeast"/>
              <w:rPr>
                <w:rFonts w:ascii="Times New Roman" w:hAnsi="Times New Roman" w:eastAsia="宋体" w:cs="Times New Roman"/>
                <w:color w:val="000000"/>
                <w:sz w:val="24"/>
              </w:rPr>
            </w:pPr>
            <w:r>
              <w:rPr>
                <w:rFonts w:hint="eastAsia" w:ascii="Times New Roman" w:hAnsi="Times New Roman" w:eastAsia="宋体" w:cs="Times New Roman"/>
                <w:color w:val="000000"/>
                <w:sz w:val="24"/>
              </w:rPr>
              <w:t>★35.涂装：警车（警车色须符合《中华人民共和国公</w:t>
            </w:r>
          </w:p>
        </w:tc>
      </w:tr>
      <w:tr w14:paraId="6C6F1039">
        <w:tblPrEx>
          <w:tblCellMar>
            <w:top w:w="0" w:type="dxa"/>
            <w:left w:w="108" w:type="dxa"/>
            <w:bottom w:w="0" w:type="dxa"/>
            <w:right w:w="108" w:type="dxa"/>
          </w:tblCellMar>
        </w:tblPrEx>
        <w:trPr>
          <w:trHeight w:val="468" w:hRule="atLeast"/>
        </w:trPr>
        <w:tc>
          <w:tcPr>
            <w:tcW w:w="8254" w:type="dxa"/>
            <w:tcBorders>
              <w:top w:val="nil"/>
              <w:left w:val="single" w:color="auto" w:sz="4" w:space="0"/>
              <w:bottom w:val="nil"/>
              <w:right w:val="single" w:color="auto" w:sz="4" w:space="0"/>
            </w:tcBorders>
            <w:vAlign w:val="center"/>
          </w:tcPr>
          <w:p w14:paraId="552D41E9">
            <w:pPr>
              <w:widowControl/>
              <w:spacing w:line="240" w:lineRule="atLeast"/>
              <w:rPr>
                <w:rFonts w:ascii="Times New Roman" w:hAnsi="Times New Roman" w:eastAsia="宋体" w:cs="Times New Roman"/>
                <w:color w:val="000000"/>
                <w:sz w:val="24"/>
              </w:rPr>
            </w:pPr>
            <w:r>
              <w:rPr>
                <w:rFonts w:hint="eastAsia" w:ascii="Times New Roman" w:hAnsi="Times New Roman" w:eastAsia="宋体" w:cs="Times New Roman"/>
                <w:color w:val="000000"/>
                <w:sz w:val="24"/>
              </w:rPr>
              <w:t>共安全行业标准》GA524--2004（2004 式警车汽车类</w:t>
            </w:r>
          </w:p>
        </w:tc>
      </w:tr>
      <w:tr w14:paraId="3F421824">
        <w:tblPrEx>
          <w:tblCellMar>
            <w:top w:w="0" w:type="dxa"/>
            <w:left w:w="108" w:type="dxa"/>
            <w:bottom w:w="0" w:type="dxa"/>
            <w:right w:w="108" w:type="dxa"/>
          </w:tblCellMar>
        </w:tblPrEx>
        <w:trPr>
          <w:trHeight w:val="468" w:hRule="atLeast"/>
        </w:trPr>
        <w:tc>
          <w:tcPr>
            <w:tcW w:w="8254" w:type="dxa"/>
            <w:tcBorders>
              <w:top w:val="nil"/>
              <w:left w:val="single" w:color="auto" w:sz="4" w:space="0"/>
              <w:bottom w:val="nil"/>
              <w:right w:val="single" w:color="auto" w:sz="4" w:space="0"/>
            </w:tcBorders>
            <w:vAlign w:val="center"/>
          </w:tcPr>
          <w:p w14:paraId="2A41BC19">
            <w:pPr>
              <w:widowControl/>
              <w:spacing w:line="240" w:lineRule="atLeast"/>
              <w:rPr>
                <w:rFonts w:ascii="Times New Roman" w:hAnsi="Times New Roman" w:eastAsia="宋体" w:cs="Times New Roman"/>
                <w:color w:val="000000"/>
                <w:sz w:val="24"/>
              </w:rPr>
            </w:pPr>
            <w:r>
              <w:rPr>
                <w:rFonts w:hint="eastAsia" w:ascii="Times New Roman" w:hAnsi="Times New Roman" w:eastAsia="宋体" w:cs="Times New Roman"/>
                <w:color w:val="000000"/>
                <w:sz w:val="24"/>
              </w:rPr>
              <w:t>外观制式涂装规范；特警色须符合 GA 923-2011《公</w:t>
            </w:r>
          </w:p>
        </w:tc>
      </w:tr>
      <w:tr w14:paraId="1FAF3FCB">
        <w:tblPrEx>
          <w:tblCellMar>
            <w:top w:w="0" w:type="dxa"/>
            <w:left w:w="108" w:type="dxa"/>
            <w:bottom w:w="0" w:type="dxa"/>
            <w:right w:w="108" w:type="dxa"/>
          </w:tblCellMar>
        </w:tblPrEx>
        <w:trPr>
          <w:trHeight w:val="333" w:hRule="atLeast"/>
        </w:trPr>
        <w:tc>
          <w:tcPr>
            <w:tcW w:w="8254" w:type="dxa"/>
            <w:tcBorders>
              <w:top w:val="nil"/>
              <w:left w:val="single" w:color="auto" w:sz="4" w:space="0"/>
              <w:bottom w:val="single" w:color="auto" w:sz="4" w:space="0"/>
              <w:right w:val="single" w:color="auto" w:sz="4" w:space="0"/>
            </w:tcBorders>
            <w:vAlign w:val="center"/>
          </w:tcPr>
          <w:p w14:paraId="1D04A23E">
            <w:pPr>
              <w:widowControl/>
              <w:spacing w:line="240" w:lineRule="atLeast"/>
              <w:rPr>
                <w:rFonts w:ascii="Times New Roman" w:hAnsi="Times New Roman" w:eastAsia="宋体" w:cs="Times New Roman"/>
                <w:color w:val="000000"/>
                <w:sz w:val="24"/>
              </w:rPr>
            </w:pPr>
            <w:r>
              <w:rPr>
                <w:rFonts w:hint="eastAsia" w:ascii="Times New Roman" w:hAnsi="Times New Roman" w:eastAsia="宋体" w:cs="Times New Roman"/>
                <w:color w:val="000000"/>
                <w:sz w:val="24"/>
              </w:rPr>
              <w:t>安特警专用车辆外观制式涂装规范》标准涂装规范）</w:t>
            </w:r>
          </w:p>
        </w:tc>
      </w:tr>
      <w:tr w14:paraId="54D2E0DA">
        <w:tblPrEx>
          <w:tblCellMar>
            <w:top w:w="0" w:type="dxa"/>
            <w:left w:w="108" w:type="dxa"/>
            <w:bottom w:w="0" w:type="dxa"/>
            <w:right w:w="108" w:type="dxa"/>
          </w:tblCellMar>
        </w:tblPrEx>
        <w:trPr>
          <w:trHeight w:val="468" w:hRule="atLeast"/>
        </w:trPr>
        <w:tc>
          <w:tcPr>
            <w:tcW w:w="8254" w:type="dxa"/>
            <w:tcBorders>
              <w:top w:val="nil"/>
              <w:left w:val="single" w:color="auto" w:sz="4" w:space="0"/>
              <w:bottom w:val="single" w:color="auto" w:sz="4" w:space="0"/>
              <w:right w:val="single" w:color="auto" w:sz="4" w:space="0"/>
            </w:tcBorders>
            <w:vAlign w:val="center"/>
          </w:tcPr>
          <w:p w14:paraId="6E8E1FE4">
            <w:pPr>
              <w:widowControl/>
              <w:rPr>
                <w:rFonts w:ascii="Times New Roman" w:hAnsi="Times New Roman" w:eastAsia="宋体" w:cs="Times New Roman"/>
                <w:color w:val="000000"/>
                <w:sz w:val="24"/>
              </w:rPr>
            </w:pPr>
            <w:r>
              <w:rPr>
                <w:rFonts w:hint="eastAsia" w:ascii="Times New Roman" w:hAnsi="Times New Roman" w:eastAsia="宋体" w:cs="Times New Roman"/>
                <w:color w:val="000000"/>
                <w:sz w:val="24"/>
              </w:rPr>
              <w:t>#36.随车工具：安全警示牌，反光背心</w:t>
            </w:r>
          </w:p>
        </w:tc>
      </w:tr>
    </w:tbl>
    <w:p w14:paraId="64C24E5B">
      <w:pPr>
        <w:spacing w:line="360" w:lineRule="auto"/>
        <w:contextualSpacing/>
        <w:rPr>
          <w:rFonts w:ascii="宋体" w:hAnsi="宋体" w:eastAsia="宋体" w:cs="Times New Roman"/>
          <w:iCs/>
          <w:sz w:val="24"/>
        </w:rPr>
      </w:pPr>
      <w:r>
        <w:rPr>
          <w:rFonts w:hint="eastAsia" w:ascii="宋体" w:hAnsi="宋体" w:eastAsia="宋体" w:cs="Times New Roman"/>
          <w:sz w:val="24"/>
        </w:rPr>
        <w:t>3</w:t>
      </w:r>
      <w:r>
        <w:rPr>
          <w:rFonts w:ascii="宋体" w:hAnsi="宋体" w:eastAsia="宋体" w:cs="Times New Roman"/>
          <w:sz w:val="24"/>
        </w:rPr>
        <w:t>. 验收标准</w:t>
      </w:r>
    </w:p>
    <w:p w14:paraId="494EEF1C">
      <w:pPr>
        <w:widowControl/>
        <w:spacing w:line="360" w:lineRule="auto"/>
        <w:ind w:firstLine="482"/>
        <w:contextualSpacing/>
        <w:rPr>
          <w:rFonts w:ascii="宋体" w:hAnsi="宋体" w:eastAsia="宋体" w:cs="Times New Roman"/>
          <w:sz w:val="24"/>
        </w:rPr>
      </w:pPr>
      <w:r>
        <w:rPr>
          <w:rFonts w:hint="eastAsia" w:ascii="宋体" w:hAnsi="宋体" w:eastAsia="宋体" w:cs="Times New Roman"/>
          <w:sz w:val="24"/>
        </w:rPr>
        <w:t>按照采购合同的约定和现行国家标准、行业标准以及企业标准对每一项技术、服务、安全标准的履约情况进行确认。投标产品应为符合国家产品质量标准及厂家该型号汽车质量标准的新下线的未曾经过维修的崭新车辆，符合国家安全及环保要求，可以在北京地区上牌的合法车辆。采购人有权根据需要设置出厂检验、到货检验、安装调试检验、配套服务检验等多重验收环节。必要时，采购人有权邀请参加本项目的第三方机构参与验收。验收结束后，应当出具验收书，列明各项标准的验收情况及项目总体评价，由验收双方共同签署。</w:t>
      </w:r>
    </w:p>
    <w:p w14:paraId="5C00CC74">
      <w:pPr>
        <w:spacing w:line="360" w:lineRule="auto"/>
        <w:contextualSpacing/>
        <w:rPr>
          <w:rFonts w:ascii="宋体" w:hAnsi="宋体" w:eastAsia="宋体" w:cs="Times New Roman"/>
          <w:sz w:val="24"/>
        </w:rPr>
      </w:pPr>
      <w:r>
        <w:rPr>
          <w:rFonts w:hint="eastAsia" w:ascii="宋体" w:hAnsi="宋体" w:eastAsia="宋体" w:cs="Times New Roman"/>
          <w:sz w:val="24"/>
        </w:rPr>
        <w:t>4</w:t>
      </w:r>
      <w:r>
        <w:rPr>
          <w:rFonts w:ascii="宋体" w:hAnsi="宋体" w:eastAsia="宋体" w:cs="Times New Roman"/>
          <w:sz w:val="24"/>
        </w:rPr>
        <w:t>. 其他要求</w:t>
      </w:r>
    </w:p>
    <w:p w14:paraId="66B225DF">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4</w:t>
      </w:r>
      <w:r>
        <w:rPr>
          <w:rFonts w:ascii="宋体" w:hAnsi="宋体" w:eastAsia="宋体" w:cs="Times New Roman"/>
          <w:sz w:val="24"/>
        </w:rPr>
        <w:t>.1</w:t>
      </w:r>
      <w:r>
        <w:rPr>
          <w:rFonts w:hint="eastAsia" w:ascii="宋体" w:hAnsi="宋体" w:eastAsia="宋体" w:cs="Times New Roman"/>
          <w:sz w:val="24"/>
        </w:rPr>
        <w:t>投标人的报价应包括：车辆及附件货款、装具费用、运输费、运输保险费、装卸费、安装调试费、车辆购置税等。不包含机动车保险费用。</w:t>
      </w:r>
    </w:p>
    <w:p w14:paraId="22246B44">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4</w:t>
      </w:r>
      <w:r>
        <w:rPr>
          <w:rFonts w:ascii="宋体" w:hAnsi="宋体" w:eastAsia="宋体" w:cs="Times New Roman"/>
          <w:sz w:val="24"/>
        </w:rPr>
        <w:t>.</w:t>
      </w:r>
      <w:r>
        <w:rPr>
          <w:rFonts w:hint="eastAsia" w:ascii="宋体" w:hAnsi="宋体" w:eastAsia="宋体" w:cs="Times New Roman"/>
          <w:sz w:val="24"/>
        </w:rPr>
        <w:t>2验收及相关费用由投标人负责。</w:t>
      </w:r>
    </w:p>
    <w:p w14:paraId="2CA9FBAF">
      <w:pPr>
        <w:spacing w:after="120" w:line="480" w:lineRule="auto"/>
        <w:ind w:left="420" w:leftChars="200"/>
        <w:rPr>
          <w:rFonts w:ascii="Times New Roman" w:hAnsi="Times New Roman" w:eastAsia="宋体" w:cs="Times New Roman"/>
        </w:rPr>
      </w:pPr>
      <w:r>
        <w:rPr>
          <w:rFonts w:hint="eastAsia" w:ascii="宋体" w:hAnsi="宋体" w:eastAsia="宋体" w:cs="Times New Roman"/>
          <w:sz w:val="24"/>
        </w:rPr>
        <w:t xml:space="preserve"> 4.3 </w:t>
      </w:r>
      <w:r>
        <w:rPr>
          <w:rFonts w:hint="eastAsia" w:ascii="Times New Roman" w:hAnsi="Times New Roman" w:eastAsia="宋体" w:cs="Times New Roman"/>
        </w:rPr>
        <w:t>★</w:t>
      </w:r>
      <w:r>
        <w:rPr>
          <w:rFonts w:hint="eastAsia" w:ascii="宋体" w:hAnsi="宋体" w:eastAsia="宋体" w:cs="等线"/>
          <w:b/>
          <w:bCs/>
        </w:rPr>
        <w:t>投标人须承诺所投车型为列入《道路机动车辆生产企业及产品公告》目录中的产品，能够在北京市登记注册上牌行驶；如目前未列入《道路机动车辆生产企业及产品公告》，投标人须承诺保证在改装后交付使用前完成车辆公告，能够在北京市登记注册上牌行驶，提供承诺函加盖投标人电子签章。</w:t>
      </w:r>
    </w:p>
    <w:p w14:paraId="3E227617">
      <w:pPr>
        <w:spacing w:after="120" w:line="480" w:lineRule="auto"/>
        <w:ind w:left="420" w:leftChars="200"/>
        <w:rPr>
          <w:rFonts w:ascii="Times New Roman" w:hAnsi="Times New Roman" w:eastAsia="宋体" w:cs="Times New Roman"/>
        </w:rPr>
      </w:pPr>
      <w:r>
        <w:rPr>
          <w:rFonts w:hint="eastAsia" w:ascii="Times New Roman" w:hAnsi="Times New Roman" w:eastAsia="宋体" w:cs="Times New Roman"/>
        </w:rPr>
        <w:t>4</w:t>
      </w:r>
      <w:r>
        <w:rPr>
          <w:rFonts w:ascii="Times New Roman" w:hAnsi="Times New Roman" w:eastAsia="宋体" w:cs="Times New Roman"/>
        </w:rPr>
        <w:t xml:space="preserve">.4 </w:t>
      </w:r>
      <w:r>
        <w:rPr>
          <w:rFonts w:hint="eastAsia" w:ascii="宋体" w:hAnsi="宋体" w:eastAsia="宋体" w:cs="Times New Roman"/>
        </w:rPr>
        <w:t>不接受进口产品</w:t>
      </w:r>
    </w:p>
    <w:p w14:paraId="6B1285AF">
      <w:pPr>
        <w:spacing w:line="360" w:lineRule="auto"/>
        <w:contextualSpacing/>
        <w:rPr>
          <w:rFonts w:ascii="Times New Roman" w:hAnsi="Times New Roman" w:eastAsia="宋体" w:cs="Times New Roman"/>
          <w:sz w:val="24"/>
        </w:rPr>
      </w:pPr>
      <w:r>
        <w:rPr>
          <w:rFonts w:hint="eastAsia" w:ascii="宋体" w:hAnsi="宋体" w:eastAsia="宋体" w:cs="Times New Roman"/>
          <w:sz w:val="24"/>
        </w:rPr>
        <w:t>5</w:t>
      </w:r>
      <w:r>
        <w:rPr>
          <w:rFonts w:ascii="宋体" w:hAnsi="宋体" w:eastAsia="宋体" w:cs="Times New Roman"/>
          <w:sz w:val="24"/>
        </w:rPr>
        <w:t>.</w:t>
      </w:r>
      <w:r>
        <w:rPr>
          <w:rFonts w:hint="eastAsia" w:ascii="Times New Roman" w:hAnsi="Times New Roman" w:eastAsia="宋体" w:cs="Times New Roman"/>
          <w:sz w:val="24"/>
        </w:rPr>
        <w:t>环保专项承诺</w:t>
      </w:r>
    </w:p>
    <w:p w14:paraId="4B371C7F">
      <w:pPr>
        <w:spacing w:line="360" w:lineRule="auto"/>
        <w:ind w:firstLine="420" w:firstLineChars="200"/>
        <w:contextualSpacing/>
        <w:rPr>
          <w:rFonts w:ascii="Times New Roman" w:hAnsi="Times New Roman" w:eastAsia="宋体" w:cs="Times New Roman"/>
          <w:b/>
          <w:bCs/>
        </w:rPr>
      </w:pPr>
      <w:r>
        <w:rPr>
          <w:rFonts w:hint="eastAsia" w:ascii="Times New Roman" w:hAnsi="Times New Roman" w:eastAsia="宋体" w:cs="Times New Roman"/>
        </w:rPr>
        <w:t>（一）★</w:t>
      </w:r>
      <w:r>
        <w:rPr>
          <w:rFonts w:hint="eastAsia" w:ascii="宋体" w:hAnsi="宋体" w:eastAsia="宋体" w:cs="Times New Roman"/>
          <w:sz w:val="24"/>
        </w:rPr>
        <w:t>根据《北京市财政局</w:t>
      </w:r>
      <w:r>
        <w:rPr>
          <w:rFonts w:ascii="宋体" w:hAnsi="宋体" w:eastAsia="宋体" w:cs="Times New Roman"/>
          <w:sz w:val="24"/>
        </w:rPr>
        <w:t xml:space="preserve"> </w:t>
      </w:r>
      <w:r>
        <w:rPr>
          <w:rFonts w:hint="eastAsia" w:ascii="宋体" w:hAnsi="宋体" w:eastAsia="宋体" w:cs="Times New Roman"/>
          <w:sz w:val="24"/>
        </w:rPr>
        <w:t>北京市生态环境局关于政府采购推广使用低挥发性有机化合物（</w:t>
      </w:r>
      <w:r>
        <w:rPr>
          <w:rFonts w:ascii="宋体" w:hAnsi="宋体" w:eastAsia="宋体" w:cs="Times New Roman"/>
          <w:sz w:val="24"/>
        </w:rPr>
        <w:t>VOCs</w:t>
      </w:r>
      <w:r>
        <w:rPr>
          <w:rFonts w:hint="eastAsia" w:ascii="宋体" w:hAnsi="宋体" w:eastAsia="宋体" w:cs="Times New Roman"/>
          <w:sz w:val="24"/>
        </w:rPr>
        <w:t>）有关事项的通知》（京财采购〔</w:t>
      </w:r>
      <w:r>
        <w:rPr>
          <w:rFonts w:ascii="宋体" w:hAnsi="宋体" w:eastAsia="宋体" w:cs="Times New Roman"/>
          <w:sz w:val="24"/>
        </w:rPr>
        <w:t>2020</w:t>
      </w:r>
      <w:r>
        <w:rPr>
          <w:rFonts w:hint="eastAsia" w:ascii="宋体" w:hAnsi="宋体" w:eastAsia="宋体" w:cs="Times New Roman"/>
          <w:sz w:val="24"/>
        </w:rPr>
        <w:t>〕</w:t>
      </w:r>
      <w:r>
        <w:rPr>
          <w:rFonts w:ascii="宋体" w:hAnsi="宋体" w:eastAsia="宋体" w:cs="Times New Roman"/>
          <w:sz w:val="24"/>
        </w:rPr>
        <w:t>2381</w:t>
      </w:r>
      <w:r>
        <w:rPr>
          <w:rFonts w:hint="eastAsia" w:ascii="宋体" w:hAnsi="宋体" w:eastAsia="宋体" w:cs="Times New Roman"/>
          <w:sz w:val="24"/>
        </w:rPr>
        <w:t>号）文件的规定，政府采购货物、工程和服务项目中涉及涂料、胶黏剂、油墨、清洗剂等挥发性有机物产品的，属于强制性标准的，参与本项目的投标人应当执行符合本市和国家的</w:t>
      </w:r>
      <w:r>
        <w:rPr>
          <w:rFonts w:ascii="宋体" w:hAnsi="宋体" w:eastAsia="宋体" w:cs="Times New Roman"/>
          <w:sz w:val="24"/>
        </w:rPr>
        <w:t>VOCs</w:t>
      </w:r>
      <w:r>
        <w:rPr>
          <w:rFonts w:hint="eastAsia" w:ascii="宋体" w:hAnsi="宋体" w:eastAsia="宋体" w:cs="Times New Roman"/>
          <w:sz w:val="24"/>
        </w:rPr>
        <w:t>含量限值标准，并按招标文件规定格式提供专项承诺，</w:t>
      </w:r>
      <w:r>
        <w:rPr>
          <w:rFonts w:hint="eastAsia" w:ascii="Times New Roman" w:hAnsi="Times New Roman" w:eastAsia="宋体" w:cs="Times New Roman"/>
          <w:b/>
          <w:bCs/>
        </w:rPr>
        <w:t>未提供该承诺的按照无效投标处理。</w:t>
      </w:r>
      <w:bookmarkStart w:id="0" w:name="_GoBack"/>
      <w:bookmarkEnd w:id="0"/>
    </w:p>
    <w:p w14:paraId="36E5B21C">
      <w:pPr>
        <w:spacing w:line="360" w:lineRule="auto"/>
        <w:ind w:firstLine="480" w:firstLineChars="200"/>
        <w:contextualSpacing/>
        <w:rPr>
          <w:rFonts w:ascii="宋体" w:hAnsi="宋体" w:eastAsia="宋体" w:cs="Times New Roman"/>
          <w:sz w:val="24"/>
        </w:rPr>
      </w:pPr>
      <w:r>
        <w:rPr>
          <w:rFonts w:hint="eastAsia" w:ascii="宋体" w:hAnsi="宋体" w:eastAsia="宋体" w:cs="Times New Roman"/>
          <w:sz w:val="24"/>
        </w:rPr>
        <w:t>（二）根据《北京市财政局 北京市生态环境局关于政府采购推广使用低挥发性有机化合物（VOCs）有关事项的通知》（京财采购〔2020〕2381 号）文件的规定，政府采购货物、工程和服务项目中涉及涂料、胶黏剂、油墨、清洗剂等挥发性有机物产品的，属于推荐性标准的，应在招标文件中载明优惠幅度，以及评审标准和方法等，以体现优先采购。本项采购中，低挥发性有机化合物含量涂料产品技术要求（GB/T38597-2020）属于国家推荐性标准，投标人可承诺在生产过程中使用的相关材料符合本市和国家相关政策。本项承诺为非实质响应条款，投标人可根据实际情况自行提供。</w:t>
      </w:r>
    </w:p>
    <w:p w14:paraId="460848D0">
      <w:pPr>
        <w:spacing w:line="360" w:lineRule="auto"/>
        <w:contextualSpacing/>
        <w:rPr>
          <w:rFonts w:ascii="Times New Roman" w:hAnsi="Times New Roman" w:eastAsia="宋体" w:cs="Times New Roman"/>
          <w:sz w:val="24"/>
        </w:rPr>
      </w:pPr>
    </w:p>
    <w:p w14:paraId="011B0E29">
      <w:pPr>
        <w:spacing w:line="360" w:lineRule="auto"/>
        <w:contextualSpacing/>
        <w:rPr>
          <w:rFonts w:ascii="Times New Roman" w:hAnsi="Times New Roman" w:eastAsia="宋体" w:cs="Times New Roman"/>
          <w:sz w:val="24"/>
        </w:rPr>
      </w:pPr>
    </w:p>
    <w:p w14:paraId="2DDCAA2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F10F3D"/>
    <w:multiLevelType w:val="multilevel"/>
    <w:tmpl w:val="4DF10F3D"/>
    <w:lvl w:ilvl="0" w:tentative="0">
      <w:start w:val="1"/>
      <w:numFmt w:val="japaneseCounting"/>
      <w:lvlText w:val="%1、"/>
      <w:lvlJc w:val="left"/>
      <w:pPr>
        <w:ind w:left="500" w:hanging="500"/>
      </w:pPr>
      <w:rPr>
        <w:rFonts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2715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2026-09-02T02:30:49Z</dcterms:created>
  <dc:creator>user</dc:creator>
  <cp:lastModifiedBy>HJT</cp:lastModifiedBy>
  <dcterms:modified xsi:type="dcterms:W3CDTF">2026-09-02T02:31:15Z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eyJoZGlkIjoiOTZmZmVhZGE5ZjRiMDJkNWI0MTIyMWU2ZjI3YTA2Y2IiLCJ1c2VySWQiOiI0MjM1NzMyNDgifQ==</vt:lpwstr>
  </property>
  <property fmtid="{D5CDD505-2E9C-101B-9397-08002B2CF9AE}" pid="4" name="ICV">
    <vt:lpwstr>B295FC6763E54E1590D201ECCB8FE995_12</vt:lpwstr>
  </property>
</Properties>
</file>